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E9DBB" w14:textId="6A453F2D" w:rsidR="00765FCD" w:rsidRDefault="006739A9" w:rsidP="006739A9">
      <w:pPr>
        <w:pStyle w:val="Title"/>
        <w:spacing w:after="0"/>
        <w:rPr>
          <w:b/>
          <w:sz w:val="20"/>
          <w:szCs w:val="20"/>
        </w:rPr>
      </w:pPr>
      <w:r w:rsidRPr="008413ED">
        <w:rPr>
          <w:b/>
          <w:sz w:val="20"/>
          <w:szCs w:val="20"/>
        </w:rPr>
        <w:t xml:space="preserve">NOTICE OF PUBLIC HEARING ON PROPOSED REVENUE BONDS TO BE ISSUED BY THE CITY OF ATLANTA, GEORGIA WITH RESPECT TO HARTSFIELD-JACKSON </w:t>
      </w:r>
    </w:p>
    <w:p w14:paraId="59EF0CD8" w14:textId="4CE7943C" w:rsidR="005E3DA4" w:rsidRPr="008413ED" w:rsidRDefault="005E3DA4" w:rsidP="008413ED">
      <w:pPr>
        <w:pStyle w:val="Title"/>
        <w:spacing w:before="0" w:after="0"/>
        <w:rPr>
          <w:b/>
          <w:sz w:val="20"/>
          <w:szCs w:val="20"/>
        </w:rPr>
      </w:pPr>
      <w:r w:rsidRPr="008413ED">
        <w:rPr>
          <w:b/>
          <w:sz w:val="20"/>
          <w:szCs w:val="20"/>
        </w:rPr>
        <w:t>ATLANTA INTERNATIONAL AIRPORT</w:t>
      </w:r>
    </w:p>
    <w:p w14:paraId="42CC907D" w14:textId="77777777" w:rsidR="005F057C" w:rsidRPr="008413ED" w:rsidRDefault="005F057C" w:rsidP="005F057C">
      <w:pPr>
        <w:jc w:val="center"/>
      </w:pPr>
    </w:p>
    <w:p w14:paraId="3CCFD2F8" w14:textId="631B9368" w:rsidR="0082200D" w:rsidRPr="00685CFE" w:rsidRDefault="0082200D" w:rsidP="0067053B">
      <w:pPr>
        <w:spacing w:after="240"/>
        <w:ind w:firstLine="720"/>
        <w:jc w:val="both"/>
      </w:pPr>
      <w:r w:rsidRPr="00685CFE">
        <w:t>Notice is hereby given that the City of Atlanta (the “City”) will conduct a public hearing, which may be continued or adjourned, on</w:t>
      </w:r>
      <w:r w:rsidR="00191475" w:rsidRPr="00685CFE">
        <w:t xml:space="preserve"> Thursday, May 30</w:t>
      </w:r>
      <w:r w:rsidR="00C22268" w:rsidRPr="00685CFE">
        <w:t>,</w:t>
      </w:r>
      <w:r w:rsidR="00266C6E" w:rsidRPr="00685CFE">
        <w:t xml:space="preserve"> </w:t>
      </w:r>
      <w:r w:rsidRPr="00685CFE">
        <w:t>202</w:t>
      </w:r>
      <w:r w:rsidR="00F92738" w:rsidRPr="00685CFE">
        <w:t>4</w:t>
      </w:r>
      <w:r w:rsidRPr="00685CFE">
        <w:t xml:space="preserve">, commencing at </w:t>
      </w:r>
      <w:r w:rsidR="00793D7B" w:rsidRPr="00685CFE">
        <w:t>1:00 p.m. EST</w:t>
      </w:r>
      <w:r w:rsidRPr="00685CFE">
        <w:t xml:space="preserve">, via the following toll-free number: </w:t>
      </w:r>
      <w:r w:rsidR="00095D36" w:rsidRPr="00685CFE">
        <w:t>(</w:t>
      </w:r>
      <w:r w:rsidR="00685CFE" w:rsidRPr="00685CFE">
        <w:t xml:space="preserve">833) 548 0276, </w:t>
      </w:r>
      <w:r w:rsidR="00685CFE" w:rsidRPr="00685CFE">
        <w:rPr>
          <w:color w:val="212121"/>
        </w:rPr>
        <w:t>Conference ID: 6781951826</w:t>
      </w:r>
      <w:r w:rsidR="00685CFE">
        <w:rPr>
          <w:color w:val="212121"/>
        </w:rPr>
        <w:t xml:space="preserve">, and </w:t>
      </w:r>
      <w:r w:rsidR="00685CFE" w:rsidRPr="00685CFE">
        <w:rPr>
          <w:color w:val="212121"/>
        </w:rPr>
        <w:t xml:space="preserve">Passcode: 368881, </w:t>
      </w:r>
      <w:r w:rsidR="0067053B" w:rsidRPr="00685CFE">
        <w:t>concerning the issuance of revenue bonds by the City for the purpose of financing or refinancing certain improvements to a facility owned and operated by the City at Hartsfield-Jackson Atlanta International Airport located at 6000 North Terminal Parkway, Atlanta, Georgia 30320</w:t>
      </w:r>
      <w:r w:rsidR="00065E09" w:rsidRPr="00685CFE">
        <w:t>,</w:t>
      </w:r>
      <w:r w:rsidR="0067053B" w:rsidRPr="00685CFE">
        <w:t xml:space="preserve"> and adjacent jurisdictions (the “Airport”), pursuant to the City’s plan of finance.  </w:t>
      </w:r>
    </w:p>
    <w:p w14:paraId="0BDD397B" w14:textId="2B38B10D" w:rsidR="0067053B" w:rsidRDefault="0067053B" w:rsidP="00664095">
      <w:pPr>
        <w:ind w:firstLine="720"/>
        <w:jc w:val="both"/>
        <w:rPr>
          <w:lang w:bidi="he-IL"/>
        </w:rPr>
      </w:pPr>
      <w:r w:rsidRPr="00C22268">
        <w:t>The City intends to issue revenue bonds in one or more series, from time to time, in an aggregate amount estimated not to exceed $</w:t>
      </w:r>
      <w:r w:rsidR="00AA1154">
        <w:t>60</w:t>
      </w:r>
      <w:r w:rsidR="00F92738" w:rsidRPr="00C22268">
        <w:t>0</w:t>
      </w:r>
      <w:r w:rsidRPr="00C22268">
        <w:t xml:space="preserve">,000,000 </w:t>
      </w:r>
      <w:bookmarkStart w:id="0" w:name="_Hlk100316949"/>
      <w:r w:rsidRPr="00C22268">
        <w:t>to provide financing or refinancing for</w:t>
      </w:r>
      <w:bookmarkEnd w:id="0"/>
      <w:r w:rsidR="00C22268" w:rsidRPr="00C22268">
        <w:t xml:space="preserve"> </w:t>
      </w:r>
      <w:r w:rsidR="008E4CD4" w:rsidRPr="00C22268">
        <w:t>(A) the costs of the planning, engineering, design, acquisition and construction of certain improvements to the Airport as described in the ATL Next Plan, which is derived from the 2015 Hartsfield-Jackson Atlanta International Airport Master Plan, as amended and supplemented from time to time, consisting of</w:t>
      </w:r>
      <w:r w:rsidR="00D14858">
        <w:t>:</w:t>
      </w:r>
      <w:r w:rsidR="00EA5FCB">
        <w:rPr>
          <w:lang w:bidi="he-IL"/>
        </w:rPr>
        <w:t xml:space="preserve"> (I) </w:t>
      </w:r>
      <w:r w:rsidR="00612E0D">
        <w:t>c</w:t>
      </w:r>
      <w:r w:rsidR="00D14858" w:rsidRPr="003A2660">
        <w:t>onstruction of</w:t>
      </w:r>
      <w:r w:rsidR="00D14858">
        <w:t xml:space="preserve"> an approximately 6,500-space</w:t>
      </w:r>
      <w:r w:rsidR="00D14858" w:rsidRPr="003A2660">
        <w:t xml:space="preserve"> multilevel parking structure for the South Economy Parking Lot, including (a) a new two-story office building, (b) a pedestrian bridge to the west end of the domestic terminal, (c) entry and exit plazas, (d) pedestrian and vehicular connections to the future South Parking Deck Phase 2, (e) parking revenue controls, (f) automatic parking guidance systems, (g)</w:t>
      </w:r>
      <w:r w:rsidR="00D14858">
        <w:t xml:space="preserve"> an</w:t>
      </w:r>
      <w:r w:rsidR="00D14858" w:rsidRPr="003A2660">
        <w:t xml:space="preserve"> electric charging station</w:t>
      </w:r>
      <w:r w:rsidR="00D14858">
        <w:t xml:space="preserve"> village</w:t>
      </w:r>
      <w:r w:rsidR="00D14858" w:rsidRPr="003A2660">
        <w:t>, and (h) a new 1,200 parking space surface lot</w:t>
      </w:r>
      <w:r w:rsidR="004436DB">
        <w:t xml:space="preserve">; (II) </w:t>
      </w:r>
      <w:r w:rsidR="006B5796">
        <w:t>r</w:t>
      </w:r>
      <w:r w:rsidR="006B5796" w:rsidRPr="003A2660">
        <w:t>ep</w:t>
      </w:r>
      <w:r w:rsidR="006B5796">
        <w:t>airing and replacing</w:t>
      </w:r>
      <w:r w:rsidR="006B5796" w:rsidRPr="003A2660">
        <w:t xml:space="preserve"> critical </w:t>
      </w:r>
      <w:r w:rsidR="006B5796">
        <w:t xml:space="preserve">CPTC </w:t>
      </w:r>
      <w:r w:rsidR="006B5796" w:rsidRPr="003A2660">
        <w:t xml:space="preserve">infrastructure operating systems and utilities, including (a) </w:t>
      </w:r>
      <w:r w:rsidR="006B5796">
        <w:t xml:space="preserve">Concourse E HVAC </w:t>
      </w:r>
      <w:r w:rsidR="006B5796" w:rsidRPr="003A2660">
        <w:t xml:space="preserve">control upgrades and secondary device replacements, (b) </w:t>
      </w:r>
      <w:r w:rsidR="006B5796">
        <w:t xml:space="preserve">Concourse B </w:t>
      </w:r>
      <w:r w:rsidR="006B5796" w:rsidRPr="003A2660">
        <w:t>plumbing pipes and equipment</w:t>
      </w:r>
      <w:r w:rsidR="006B5796">
        <w:t xml:space="preserve"> replacements related to domestic </w:t>
      </w:r>
      <w:r w:rsidR="006B5796" w:rsidRPr="003A2660">
        <w:t>water, sanitary sewer, and grease waste</w:t>
      </w:r>
      <w:r w:rsidR="006B5796">
        <w:t xml:space="preserve">, </w:t>
      </w:r>
      <w:r w:rsidR="006B5796" w:rsidRPr="003A2660">
        <w:t xml:space="preserve">(c) </w:t>
      </w:r>
      <w:r w:rsidR="006B5796">
        <w:t xml:space="preserve">Concourse A and T escalator </w:t>
      </w:r>
      <w:r w:rsidR="006B5796" w:rsidRPr="003A2660">
        <w:t>moderniz</w:t>
      </w:r>
      <w:r w:rsidR="006B5796">
        <w:t>ation</w:t>
      </w:r>
      <w:r w:rsidR="00B7291C">
        <w:t>;</w:t>
      </w:r>
      <w:r w:rsidR="009C4BEE">
        <w:t xml:space="preserve"> </w:t>
      </w:r>
      <w:r w:rsidR="00612E0D">
        <w:t>(III) u</w:t>
      </w:r>
      <w:r w:rsidR="00612E0D" w:rsidRPr="003A2660">
        <w:t>pgrading airport security equipment in the Main Security Checkpoint</w:t>
      </w:r>
      <w:r w:rsidR="00612E0D">
        <w:t xml:space="preserve">, including </w:t>
      </w:r>
      <w:r w:rsidR="00612E0D" w:rsidRPr="003A2660">
        <w:t xml:space="preserve">(a) installing new TSA-accepted Checkpoint Property Screening Systems (CPSS) equipped </w:t>
      </w:r>
      <w:r w:rsidR="00612E0D">
        <w:t>utilizing</w:t>
      </w:r>
      <w:r w:rsidR="00612E0D" w:rsidRPr="003A2660">
        <w:t xml:space="preserve"> computed tomography (CT) baggage scanning technology and an automated screening lane as a replacement </w:t>
      </w:r>
      <w:r w:rsidR="00612E0D" w:rsidRPr="007F2983">
        <w:t>for 19 lanes of</w:t>
      </w:r>
      <w:r w:rsidR="00612E0D" w:rsidRPr="003A2660">
        <w:t xml:space="preserve"> legacy security screening equipment, (b) installing new CCTV cameras, (c) enhancing ceiling and lighting levels, (d) modifying electrical and mechanical systems to accommodate the CPSS configuration, (e) relocating equipment or facilities</w:t>
      </w:r>
      <w:r w:rsidR="00612E0D">
        <w:t>, as necessary</w:t>
      </w:r>
      <w:r w:rsidR="00612E0D" w:rsidRPr="003A2660">
        <w:t>, and (f) upgrading remote resolution capability for CT technology</w:t>
      </w:r>
      <w:r w:rsidR="00612E0D">
        <w:t xml:space="preserve">; (IV) installing upgrades to </w:t>
      </w:r>
      <w:r w:rsidR="00612E0D" w:rsidRPr="003A2660">
        <w:t>fire safety equipment and structures in the Transportation Mall</w:t>
      </w:r>
      <w:r w:rsidR="00612E0D">
        <w:t xml:space="preserve"> and Domestic</w:t>
      </w:r>
      <w:r w:rsidR="008C727F">
        <w:t xml:space="preserve"> Terminal</w:t>
      </w:r>
      <w:r w:rsidR="00612E0D" w:rsidRPr="003A2660">
        <w:t>, including the automated guideway transit system (the “Plane Train”)</w:t>
      </w:r>
      <w:r w:rsidR="00612E0D">
        <w:t xml:space="preserve"> all to comply with National Fire Protection Association (NFPA) life safety code standards; (V) </w:t>
      </w:r>
      <w:r w:rsidR="00612E0D">
        <w:rPr>
          <w:lang w:bidi="he-IL"/>
        </w:rPr>
        <w:t>i</w:t>
      </w:r>
      <w:r w:rsidR="00612E0D" w:rsidRPr="003A2660">
        <w:rPr>
          <w:lang w:bidi="he-IL"/>
        </w:rPr>
        <w:t>mprovements, upgrades, and renovations to</w:t>
      </w:r>
      <w:r w:rsidR="00612E0D" w:rsidRPr="003A2660">
        <w:t xml:space="preserve"> the </w:t>
      </w:r>
      <w:r w:rsidR="00612E0D">
        <w:t>D</w:t>
      </w:r>
      <w:r w:rsidR="00612E0D" w:rsidRPr="003A2660">
        <w:t xml:space="preserve">omestic </w:t>
      </w:r>
      <w:r w:rsidR="00612E0D">
        <w:t>T</w:t>
      </w:r>
      <w:r w:rsidR="00612E0D" w:rsidRPr="003A2660">
        <w:t>erminal</w:t>
      </w:r>
      <w:r w:rsidR="008C727F">
        <w:t xml:space="preserve"> Interior</w:t>
      </w:r>
      <w:r w:rsidR="00612E0D" w:rsidRPr="003A2660">
        <w:t xml:space="preserve">, including, (a) removal of the North and South </w:t>
      </w:r>
      <w:r w:rsidR="00612E0D">
        <w:t xml:space="preserve">Terminal </w:t>
      </w:r>
      <w:r w:rsidR="00612E0D" w:rsidRPr="003A2660">
        <w:t xml:space="preserve">high bay and east-west connector ceilings, lighting, and other existing ceiling infrastructure, (b) </w:t>
      </w:r>
      <w:r w:rsidR="00612E0D">
        <w:t xml:space="preserve">installing </w:t>
      </w:r>
      <w:r w:rsidR="00612E0D" w:rsidRPr="003A2660">
        <w:t xml:space="preserve">a new 2x4 ceiling system with grid and linear LED lighting, (c) painting drywall elements, (d) </w:t>
      </w:r>
      <w:r w:rsidR="00612E0D" w:rsidRPr="007F2983">
        <w:t>installing new ceiling systems including distributed antenna systems (DAS), Wi-Fi</w:t>
      </w:r>
      <w:r w:rsidR="00F518F1">
        <w:t xml:space="preserve"> </w:t>
      </w:r>
      <w:r w:rsidR="00612E0D" w:rsidRPr="007F2983">
        <w:t xml:space="preserve">and other systems, and (e) replacing wayfinding signage and graphics in the Domestic Terminal, ticketing and baggage claim areas, circulation corridors, west crossover, atrium and lower-level tunnels; (VI) installation and equipping of (a) three (3) additional passenger checkpoint lanes and security equipment at the Lower North Employee Security Checkpoint (b) upgraded security equipment and lighting, (c) implementing a Xovis  advanced people tracking system, (d) </w:t>
      </w:r>
      <w:r w:rsidR="008C727F" w:rsidRPr="008C727F">
        <w:rPr>
          <w:color w:val="auto"/>
        </w:rPr>
        <w:t xml:space="preserve">new storefront passenger and employee facing entrances into facility </w:t>
      </w:r>
      <w:r w:rsidR="00612E0D" w:rsidRPr="007F2983">
        <w:t>(e) optical turnstiles,  (f) Advanced Imaging Technology body scanners, (g) a Notifier System (h) permanent signage, and (i) relocating existing sprinkler systems and security cameras to optimize processing times for passengers; (VII) replacing the paging system components</w:t>
      </w:r>
      <w:r w:rsidR="00612E0D" w:rsidRPr="007F2983">
        <w:rPr>
          <w:lang w:bidi="he-IL"/>
        </w:rPr>
        <w:t xml:space="preserve"> and speakers, wires, and mic stations for the North and South Domestic Terminals, Atrium, Concourse D and Concourse E; and (VIII) extending the Atlanta Airport Terminal</w:t>
      </w:r>
      <w:r w:rsidR="00612E0D">
        <w:rPr>
          <w:lang w:bidi="he-IL"/>
        </w:rPr>
        <w:t xml:space="preserve"> Company (AATC) offices at Concourse T, including approximately 5,600 square feet and installation of base building utility supply lines and equipment; and reconfiguring and the existing concourse terminal building</w:t>
      </w:r>
      <w:r w:rsidR="00C22268" w:rsidRPr="00C22268">
        <w:rPr>
          <w:lang w:bidi="he-IL"/>
        </w:rPr>
        <w:t>;</w:t>
      </w:r>
      <w:r w:rsidR="00C22268" w:rsidRPr="00C22268">
        <w:t xml:space="preserve"> </w:t>
      </w:r>
      <w:r w:rsidR="00C22268" w:rsidRPr="00C22268">
        <w:rPr>
          <w:lang w:bidi="he-IL"/>
        </w:rPr>
        <w:t xml:space="preserve">and (B) the costs of issuing the revenue bonds.  </w:t>
      </w:r>
      <w:r w:rsidR="008E4CD4" w:rsidRPr="00C22268">
        <w:rPr>
          <w:lang w:bidi="he-IL"/>
        </w:rPr>
        <w:t xml:space="preserve">  </w:t>
      </w:r>
    </w:p>
    <w:p w14:paraId="29D1F80A" w14:textId="77777777" w:rsidR="00612E0D" w:rsidRPr="00C22268" w:rsidRDefault="00612E0D" w:rsidP="00612E0D">
      <w:pPr>
        <w:jc w:val="both"/>
        <w:rPr>
          <w:lang w:bidi="he-IL"/>
        </w:rPr>
      </w:pPr>
    </w:p>
    <w:p w14:paraId="405A4460" w14:textId="77777777" w:rsidR="005E3DA4" w:rsidRPr="00793D7B" w:rsidRDefault="00D14CE9" w:rsidP="00D14CE9">
      <w:pPr>
        <w:spacing w:after="240"/>
        <w:ind w:firstLine="720"/>
        <w:jc w:val="both"/>
      </w:pPr>
      <w:r w:rsidRPr="00793D7B">
        <w:t xml:space="preserve">The hearing will be held before </w:t>
      </w:r>
      <w:r w:rsidR="00691032" w:rsidRPr="00793D7B">
        <w:t>C</w:t>
      </w:r>
      <w:r w:rsidR="003777C0" w:rsidRPr="00793D7B">
        <w:t>.</w:t>
      </w:r>
      <w:r w:rsidR="00691032" w:rsidRPr="00793D7B">
        <w:t xml:space="preserve"> Courtney Knight</w:t>
      </w:r>
      <w:r w:rsidRPr="00793D7B">
        <w:t xml:space="preserve">, </w:t>
      </w:r>
      <w:r w:rsidR="00691032" w:rsidRPr="00793D7B">
        <w:t>Treasurer</w:t>
      </w:r>
      <w:r w:rsidRPr="00793D7B">
        <w:t>, City of Atlanta</w:t>
      </w:r>
      <w:r w:rsidR="00616AB6" w:rsidRPr="00793D7B">
        <w:t>, in h</w:t>
      </w:r>
      <w:r w:rsidR="004F30E5" w:rsidRPr="00793D7B">
        <w:t>is</w:t>
      </w:r>
      <w:r w:rsidR="00616AB6" w:rsidRPr="00793D7B">
        <w:t xml:space="preserve"> capacity </w:t>
      </w:r>
      <w:r w:rsidR="00B826D5" w:rsidRPr="00793D7B">
        <w:t>as</w:t>
      </w:r>
      <w:r w:rsidR="000D28F6" w:rsidRPr="00793D7B">
        <w:t xml:space="preserve"> </w:t>
      </w:r>
      <w:r w:rsidR="005E3DA4" w:rsidRPr="00793D7B">
        <w:t xml:space="preserve">Hearing Officer </w:t>
      </w:r>
      <w:r w:rsidR="00B826D5" w:rsidRPr="00793D7B">
        <w:t xml:space="preserve">or such alternate hearing officer as may be </w:t>
      </w:r>
      <w:r w:rsidR="000D28F6" w:rsidRPr="00793D7B">
        <w:t>designated by the City</w:t>
      </w:r>
      <w:r w:rsidR="005E3DA4" w:rsidRPr="00793D7B">
        <w:t>.</w:t>
      </w:r>
    </w:p>
    <w:p w14:paraId="61FDF1E9" w14:textId="77777777" w:rsidR="005E3DA4" w:rsidRDefault="005E3DA4" w:rsidP="005E3DA4">
      <w:pPr>
        <w:spacing w:after="240"/>
        <w:ind w:firstLine="720"/>
        <w:jc w:val="both"/>
      </w:pPr>
      <w:r w:rsidRPr="00C22268">
        <w:t xml:space="preserve">The </w:t>
      </w:r>
      <w:r w:rsidR="00D86774" w:rsidRPr="00C22268">
        <w:t>revenue bonds</w:t>
      </w:r>
      <w:r w:rsidRPr="00C22268">
        <w:t xml:space="preserve"> when and if issued, will be limited obligations of the City and will not constitute a general obligation of the State of Georgia or the City, nor shall the </w:t>
      </w:r>
      <w:r w:rsidR="00D86774" w:rsidRPr="00C22268">
        <w:t>revenue bonds</w:t>
      </w:r>
      <w:r w:rsidR="00BB4FD5" w:rsidRPr="00C22268">
        <w:t xml:space="preserve"> </w:t>
      </w:r>
      <w:r w:rsidRPr="00C22268">
        <w:t xml:space="preserve">be payable in any manner by taxation, but are payable solely from the </w:t>
      </w:r>
      <w:r w:rsidR="003C5790" w:rsidRPr="00C22268">
        <w:t>revenues of the Airport</w:t>
      </w:r>
      <w:r w:rsidR="002E08A1" w:rsidRPr="00C22268">
        <w:t xml:space="preserve"> or from other lawful sources</w:t>
      </w:r>
      <w:r w:rsidRPr="00C22268">
        <w:t xml:space="preserve">.  The hearing is required by Federal law because </w:t>
      </w:r>
      <w:r w:rsidR="00F3692F" w:rsidRPr="00C22268">
        <w:t xml:space="preserve">certain of the revenue bonds </w:t>
      </w:r>
      <w:r w:rsidRPr="00C22268">
        <w:t>of the City to be issued will be treated as private activity bonds.</w:t>
      </w:r>
    </w:p>
    <w:p w14:paraId="50DD45CF" w14:textId="77777777" w:rsidR="005E3DA4" w:rsidRPr="00C22268" w:rsidRDefault="005E3DA4" w:rsidP="005E3DA4">
      <w:pPr>
        <w:spacing w:after="240"/>
        <w:ind w:firstLine="720"/>
        <w:jc w:val="both"/>
      </w:pPr>
      <w:r w:rsidRPr="00C22268">
        <w:lastRenderedPageBreak/>
        <w:t xml:space="preserve">Further information regarding the proposed plan of </w:t>
      </w:r>
      <w:r w:rsidR="00BB4FD5" w:rsidRPr="00C22268">
        <w:t xml:space="preserve">issuing the </w:t>
      </w:r>
      <w:r w:rsidR="00F3692F" w:rsidRPr="00C22268">
        <w:t>revenue bonds</w:t>
      </w:r>
      <w:r w:rsidR="00BB4FD5" w:rsidRPr="00C22268">
        <w:t xml:space="preserve"> </w:t>
      </w:r>
      <w:r w:rsidRPr="00C22268">
        <w:t>or plan of finance, are of public record in the office of the City of Atlanta Department of Finance, 68 Mitchell Street, SW, Atlanta, Georgia 303</w:t>
      </w:r>
      <w:r w:rsidR="00AD0BA9" w:rsidRPr="00C22268">
        <w:t>0</w:t>
      </w:r>
      <w:r w:rsidR="00E77716" w:rsidRPr="00C22268">
        <w:t>3</w:t>
      </w:r>
      <w:r w:rsidRPr="00C22268">
        <w:t>.</w:t>
      </w:r>
      <w:r w:rsidR="008413ED" w:rsidRPr="00C22268">
        <w:t xml:space="preserve"> </w:t>
      </w:r>
      <w:r w:rsidRPr="00C22268">
        <w:t xml:space="preserve">Any interested person having views on the proposed issuance of </w:t>
      </w:r>
      <w:r w:rsidR="00BB4FD5" w:rsidRPr="00C22268">
        <w:t xml:space="preserve">the </w:t>
      </w:r>
      <w:r w:rsidR="00F3692F" w:rsidRPr="00C22268">
        <w:t>revenue bonds</w:t>
      </w:r>
      <w:r w:rsidRPr="00C22268">
        <w:t xml:space="preserve"> or the plan of finance may be heard at the Public Hearing.</w:t>
      </w:r>
    </w:p>
    <w:p w14:paraId="53CBEA6B" w14:textId="77777777" w:rsidR="005E3DA4" w:rsidRPr="0067053B" w:rsidRDefault="005E3DA4" w:rsidP="005E3DA4">
      <w:pPr>
        <w:rPr>
          <w:sz w:val="21"/>
          <w:szCs w:val="21"/>
        </w:rPr>
        <w:sectPr w:rsidR="005E3DA4" w:rsidRPr="0067053B" w:rsidSect="00676078">
          <w:pgSz w:w="12240" w:h="15840"/>
          <w:pgMar w:top="1440" w:right="1440" w:bottom="1440" w:left="1440" w:header="720" w:footer="540" w:gutter="0"/>
          <w:cols w:space="720"/>
          <w:docGrid w:linePitch="360"/>
        </w:sectPr>
      </w:pPr>
    </w:p>
    <w:p w14:paraId="50ECEB01" w14:textId="77777777" w:rsidR="00F61B06" w:rsidRPr="0067053B" w:rsidRDefault="00F61B06" w:rsidP="00F61B06">
      <w:pPr>
        <w:jc w:val="center"/>
        <w:rPr>
          <w:b/>
          <w:sz w:val="21"/>
          <w:szCs w:val="21"/>
          <w:u w:val="single"/>
        </w:rPr>
      </w:pPr>
      <w:r w:rsidRPr="0067053B">
        <w:rPr>
          <w:b/>
          <w:sz w:val="21"/>
          <w:szCs w:val="21"/>
          <w:u w:val="single"/>
        </w:rPr>
        <w:lastRenderedPageBreak/>
        <w:t>TEFRA SCRIPT</w:t>
      </w:r>
    </w:p>
    <w:p w14:paraId="2C0060ED" w14:textId="77777777" w:rsidR="00F61B06" w:rsidRPr="0067053B" w:rsidRDefault="00F61B06" w:rsidP="00F61B06">
      <w:pPr>
        <w:jc w:val="center"/>
        <w:rPr>
          <w:b/>
          <w:sz w:val="21"/>
          <w:szCs w:val="21"/>
          <w:u w:val="single"/>
        </w:rPr>
      </w:pPr>
    </w:p>
    <w:p w14:paraId="25933C97" w14:textId="70C78796" w:rsidR="00F61B06" w:rsidRPr="00E11184" w:rsidRDefault="00F61B06" w:rsidP="0067053B">
      <w:pPr>
        <w:jc w:val="center"/>
        <w:rPr>
          <w:b/>
          <w:bCs/>
          <w:sz w:val="21"/>
          <w:szCs w:val="21"/>
        </w:rPr>
      </w:pPr>
      <w:r w:rsidRPr="00E11184">
        <w:rPr>
          <w:b/>
          <w:bCs/>
          <w:sz w:val="21"/>
          <w:szCs w:val="21"/>
        </w:rPr>
        <w:t>CITY OF ATLANTA</w:t>
      </w:r>
      <w:r w:rsidR="0067053B" w:rsidRPr="00E11184">
        <w:rPr>
          <w:b/>
          <w:bCs/>
          <w:sz w:val="21"/>
          <w:szCs w:val="21"/>
        </w:rPr>
        <w:t xml:space="preserve"> </w:t>
      </w:r>
      <w:r w:rsidRPr="00E11184">
        <w:rPr>
          <w:b/>
          <w:bCs/>
          <w:sz w:val="21"/>
          <w:szCs w:val="21"/>
        </w:rPr>
        <w:t xml:space="preserve">NOT-TO-EXCEED </w:t>
      </w:r>
      <w:r w:rsidR="008413ED" w:rsidRPr="00E11184">
        <w:rPr>
          <w:b/>
          <w:bCs/>
          <w:sz w:val="21"/>
          <w:szCs w:val="21"/>
        </w:rPr>
        <w:t>$</w:t>
      </w:r>
      <w:r w:rsidR="007F2983">
        <w:rPr>
          <w:b/>
          <w:bCs/>
          <w:sz w:val="21"/>
          <w:szCs w:val="21"/>
        </w:rPr>
        <w:t>600</w:t>
      </w:r>
      <w:r w:rsidR="008413ED" w:rsidRPr="00E11184">
        <w:rPr>
          <w:b/>
          <w:bCs/>
          <w:sz w:val="21"/>
          <w:szCs w:val="21"/>
        </w:rPr>
        <w:t xml:space="preserve">,000,000 </w:t>
      </w:r>
      <w:r w:rsidRPr="00E11184">
        <w:rPr>
          <w:b/>
          <w:bCs/>
          <w:sz w:val="21"/>
          <w:szCs w:val="21"/>
        </w:rPr>
        <w:t>IN</w:t>
      </w:r>
      <w:r w:rsidRPr="00E11184">
        <w:rPr>
          <w:b/>
          <w:bCs/>
          <w:sz w:val="21"/>
          <w:szCs w:val="21"/>
        </w:rPr>
        <w:br/>
        <w:t>COMBINED AGGREGATE PRINCIPAL</w:t>
      </w:r>
      <w:r w:rsidR="0067053B" w:rsidRPr="00E11184">
        <w:rPr>
          <w:b/>
          <w:bCs/>
          <w:sz w:val="21"/>
          <w:szCs w:val="21"/>
        </w:rPr>
        <w:t xml:space="preserve"> </w:t>
      </w:r>
      <w:r w:rsidRPr="00E11184">
        <w:rPr>
          <w:b/>
          <w:bCs/>
          <w:sz w:val="21"/>
          <w:szCs w:val="21"/>
        </w:rPr>
        <w:t>AMOUNT OF AIRPORT REVENUE BONDS</w:t>
      </w:r>
    </w:p>
    <w:p w14:paraId="1C883431" w14:textId="77777777" w:rsidR="0067053B" w:rsidRPr="0067053B" w:rsidRDefault="0067053B" w:rsidP="0067053B">
      <w:pPr>
        <w:jc w:val="center"/>
        <w:rPr>
          <w:sz w:val="21"/>
          <w:szCs w:val="21"/>
        </w:rPr>
      </w:pPr>
    </w:p>
    <w:tbl>
      <w:tblPr>
        <w:tblW w:w="0" w:type="auto"/>
        <w:tblLook w:val="01E0" w:firstRow="1" w:lastRow="1" w:firstColumn="1" w:lastColumn="1" w:noHBand="0" w:noVBand="0"/>
      </w:tblPr>
      <w:tblGrid>
        <w:gridCol w:w="1280"/>
        <w:gridCol w:w="8080"/>
      </w:tblGrid>
      <w:tr w:rsidR="00F61B06" w:rsidRPr="00951750" w14:paraId="3A17D7E0" w14:textId="77777777" w:rsidTr="00AE60A0">
        <w:tc>
          <w:tcPr>
            <w:tcW w:w="1280" w:type="dxa"/>
            <w:shd w:val="clear" w:color="auto" w:fill="auto"/>
          </w:tcPr>
          <w:p w14:paraId="3046EC48" w14:textId="77777777" w:rsidR="00F61B06" w:rsidRPr="00951750" w:rsidRDefault="00F61B06" w:rsidP="004816E2">
            <w:pPr>
              <w:pStyle w:val="BodyText"/>
              <w:ind w:firstLine="0"/>
              <w:rPr>
                <w:b/>
                <w:sz w:val="21"/>
                <w:szCs w:val="21"/>
              </w:rPr>
            </w:pPr>
            <w:r w:rsidRPr="00951750">
              <w:rPr>
                <w:b/>
                <w:sz w:val="21"/>
                <w:szCs w:val="21"/>
              </w:rPr>
              <w:t>HEARING</w:t>
            </w:r>
            <w:r w:rsidRPr="00951750">
              <w:rPr>
                <w:b/>
                <w:sz w:val="21"/>
                <w:szCs w:val="21"/>
              </w:rPr>
              <w:br/>
              <w:t>OFFICER:</w:t>
            </w:r>
          </w:p>
        </w:tc>
        <w:tc>
          <w:tcPr>
            <w:tcW w:w="8143" w:type="dxa"/>
            <w:shd w:val="clear" w:color="auto" w:fill="auto"/>
          </w:tcPr>
          <w:p w14:paraId="59602ADD" w14:textId="421970D1" w:rsidR="00612E0D" w:rsidRDefault="006153A8" w:rsidP="00612E0D">
            <w:pPr>
              <w:jc w:val="both"/>
              <w:rPr>
                <w:lang w:bidi="he-IL"/>
              </w:rPr>
            </w:pPr>
            <w:r w:rsidRPr="00C22268">
              <w:rPr>
                <w:sz w:val="21"/>
                <w:szCs w:val="21"/>
              </w:rPr>
              <w:t xml:space="preserve">This is a public hearing with respect to the issuance by the City of Atlanta of its not-to-exceed </w:t>
            </w:r>
            <w:r w:rsidR="00AA1154" w:rsidRPr="00C22268">
              <w:t>$</w:t>
            </w:r>
            <w:r w:rsidR="00AA1154">
              <w:t>60</w:t>
            </w:r>
            <w:r w:rsidR="00AA1154" w:rsidRPr="00C22268">
              <w:t xml:space="preserve">0,000,000 </w:t>
            </w:r>
            <w:r w:rsidRPr="00C22268">
              <w:rPr>
                <w:sz w:val="21"/>
                <w:szCs w:val="21"/>
              </w:rPr>
              <w:t xml:space="preserve">principal amount of Airport Revenue Bonds to provide financing or refinancing for </w:t>
            </w:r>
            <w:r w:rsidR="00F02C14" w:rsidRPr="00C22268">
              <w:t>(A) the costs of the planning, engineering, design, acquisition and construction of certain improvements to the Airport as described in the ATL Next Plan, which is derived from the 2015 Hartsfield-Jackson Atlanta International Airport Master Plan, as amended and supplemented from time to time, consisting of</w:t>
            </w:r>
            <w:r w:rsidR="00F02C14">
              <w:t>:</w:t>
            </w:r>
            <w:r w:rsidR="00F02C14">
              <w:rPr>
                <w:lang w:bidi="he-IL"/>
              </w:rPr>
              <w:t xml:space="preserve"> (I) </w:t>
            </w:r>
            <w:r w:rsidR="00F02C14">
              <w:t>c</w:t>
            </w:r>
            <w:r w:rsidR="00F02C14" w:rsidRPr="003A2660">
              <w:t>onstruction of</w:t>
            </w:r>
            <w:r w:rsidR="00F02C14">
              <w:t xml:space="preserve"> an approximately 6,500-space</w:t>
            </w:r>
            <w:r w:rsidR="00F02C14" w:rsidRPr="003A2660">
              <w:t xml:space="preserve"> multilevel parking structure for the South Economy Parking Lot, including (a) a new two-story office building, (b) a pedestrian bridge to the west end of the domestic terminal, (c) entry and exit plazas, (d) pedestrian and vehicular connections to the future South Parking Deck Phase 2, (e) parking revenue controls, (f) automatic parking guidance systems, (g)</w:t>
            </w:r>
            <w:r w:rsidR="00F02C14">
              <w:t xml:space="preserve"> an</w:t>
            </w:r>
            <w:r w:rsidR="00F02C14" w:rsidRPr="003A2660">
              <w:t xml:space="preserve"> electric charging station</w:t>
            </w:r>
            <w:r w:rsidR="00F02C14">
              <w:t xml:space="preserve"> village</w:t>
            </w:r>
            <w:r w:rsidR="00F02C14" w:rsidRPr="003A2660">
              <w:t>, and (h) a new 1,200 parking space surface lot</w:t>
            </w:r>
            <w:r w:rsidR="00F02C14">
              <w:t>; (II) r</w:t>
            </w:r>
            <w:r w:rsidR="00F02C14" w:rsidRPr="003A2660">
              <w:t>ep</w:t>
            </w:r>
            <w:r w:rsidR="00F02C14">
              <w:t>airing and replacing</w:t>
            </w:r>
            <w:r w:rsidR="00F02C14" w:rsidRPr="003A2660">
              <w:t xml:space="preserve"> critical </w:t>
            </w:r>
            <w:r w:rsidR="00F02C14">
              <w:t xml:space="preserve">CPTC </w:t>
            </w:r>
            <w:r w:rsidR="00F02C14" w:rsidRPr="003A2660">
              <w:t xml:space="preserve">infrastructure operating systems and utilities, including (a) </w:t>
            </w:r>
            <w:r w:rsidR="00F02C14">
              <w:t xml:space="preserve">Concourse E HVAC </w:t>
            </w:r>
            <w:r w:rsidR="00F02C14" w:rsidRPr="003A2660">
              <w:t xml:space="preserve">control upgrades and secondary device replacements, (b) </w:t>
            </w:r>
            <w:r w:rsidR="00F02C14">
              <w:t xml:space="preserve">Concourse B </w:t>
            </w:r>
            <w:r w:rsidR="00F02C14" w:rsidRPr="003A2660">
              <w:t>plumbing pipes and equipment</w:t>
            </w:r>
            <w:r w:rsidR="00F02C14">
              <w:t xml:space="preserve"> replacements related to domestic </w:t>
            </w:r>
            <w:r w:rsidR="00F02C14" w:rsidRPr="003A2660">
              <w:t>water, sanitary sewer, and grease waste</w:t>
            </w:r>
            <w:r w:rsidR="00F02C14">
              <w:t xml:space="preserve">, </w:t>
            </w:r>
            <w:r w:rsidR="00F02C14" w:rsidRPr="003A2660">
              <w:t xml:space="preserve">(c) </w:t>
            </w:r>
            <w:r w:rsidR="00F02C14">
              <w:t xml:space="preserve">Concourse A and T escalator </w:t>
            </w:r>
            <w:r w:rsidR="00F02C14" w:rsidRPr="003A2660">
              <w:t>moderniz</w:t>
            </w:r>
            <w:r w:rsidR="00F02C14">
              <w:t>ation</w:t>
            </w:r>
            <w:r w:rsidR="00EC07AB">
              <w:t>;</w:t>
            </w:r>
            <w:r w:rsidR="00F02C14">
              <w:t xml:space="preserve"> (III) u</w:t>
            </w:r>
            <w:r w:rsidR="00F02C14" w:rsidRPr="003A2660">
              <w:t>pgrading airport security equipment in the Main Security Checkpoint</w:t>
            </w:r>
            <w:r w:rsidR="00F02C14">
              <w:t xml:space="preserve">, including </w:t>
            </w:r>
            <w:r w:rsidR="00F02C14" w:rsidRPr="003A2660">
              <w:t xml:space="preserve">(a) installing new TSA-accepted Checkpoint Property Screening Systems (CPSS) equipped </w:t>
            </w:r>
            <w:r w:rsidR="00F02C14">
              <w:t>utilizing</w:t>
            </w:r>
            <w:r w:rsidR="00F02C14" w:rsidRPr="003A2660">
              <w:t xml:space="preserve"> computed tomography (CT) baggage scanning technology and an automated screening lane as a replacement </w:t>
            </w:r>
            <w:r w:rsidR="00F02C14" w:rsidRPr="007F2983">
              <w:t>for 19 lanes of</w:t>
            </w:r>
            <w:r w:rsidR="00F02C14" w:rsidRPr="003A2660">
              <w:t xml:space="preserve"> legacy security screening equipment, (b) installing new CCTV cameras, (c) enhancing ceiling and lighting levels, (d) modifying electrical and mechanical systems to accommodate the CPSS configuration, (e) relocating equipment or facilities</w:t>
            </w:r>
            <w:r w:rsidR="00F02C14">
              <w:t>, as necessary</w:t>
            </w:r>
            <w:r w:rsidR="00F02C14" w:rsidRPr="003A2660">
              <w:t>, and (f) upgrading remote resolution capability for CT technology</w:t>
            </w:r>
            <w:r w:rsidR="00F02C14">
              <w:t xml:space="preserve">; (IV) installing upgrades to </w:t>
            </w:r>
            <w:r w:rsidR="00F02C14" w:rsidRPr="003A2660">
              <w:t>fire safety equipment and structures in the Transportation Mall</w:t>
            </w:r>
            <w:r w:rsidR="00F02C14">
              <w:t xml:space="preserve"> and Domestic Terminal</w:t>
            </w:r>
            <w:r w:rsidR="00F02C14" w:rsidRPr="003A2660">
              <w:t>, including the automated guideway transit system (the “Plane Train”)</w:t>
            </w:r>
            <w:r w:rsidR="00F02C14">
              <w:t xml:space="preserve"> all to comply with National Fire Protection Association (NFPA) life safety code standards; (V) </w:t>
            </w:r>
            <w:r w:rsidR="00F02C14">
              <w:rPr>
                <w:lang w:bidi="he-IL"/>
              </w:rPr>
              <w:t>i</w:t>
            </w:r>
            <w:r w:rsidR="00F02C14" w:rsidRPr="003A2660">
              <w:rPr>
                <w:lang w:bidi="he-IL"/>
              </w:rPr>
              <w:t>mprovements, upgrades, and renovations to</w:t>
            </w:r>
            <w:r w:rsidR="00F02C14" w:rsidRPr="003A2660">
              <w:t xml:space="preserve"> the </w:t>
            </w:r>
            <w:r w:rsidR="00F02C14">
              <w:t>D</w:t>
            </w:r>
            <w:r w:rsidR="00F02C14" w:rsidRPr="003A2660">
              <w:t xml:space="preserve">omestic </w:t>
            </w:r>
            <w:r w:rsidR="00F02C14">
              <w:t>T</w:t>
            </w:r>
            <w:r w:rsidR="00F02C14" w:rsidRPr="003A2660">
              <w:t>erminal</w:t>
            </w:r>
            <w:r w:rsidR="00F02C14">
              <w:t xml:space="preserve"> Interior</w:t>
            </w:r>
            <w:r w:rsidR="00F02C14" w:rsidRPr="003A2660">
              <w:t xml:space="preserve">, including, (a) removal of the North and South </w:t>
            </w:r>
            <w:r w:rsidR="00F02C14">
              <w:t xml:space="preserve">Terminal </w:t>
            </w:r>
            <w:r w:rsidR="00F02C14" w:rsidRPr="003A2660">
              <w:t xml:space="preserve">high bay and east-west connector ceilings, lighting, and other existing ceiling infrastructure, (b) </w:t>
            </w:r>
            <w:r w:rsidR="00F02C14">
              <w:t xml:space="preserve">installing </w:t>
            </w:r>
            <w:r w:rsidR="00F02C14" w:rsidRPr="003A2660">
              <w:t xml:space="preserve">a new 2x4 ceiling system with grid and linear LED lighting, (c) painting drywall elements, (d) </w:t>
            </w:r>
            <w:r w:rsidR="00F02C14" w:rsidRPr="007F2983">
              <w:t>installing new ceiling systems including distributed antenna systems (DAS), Wi-Fi</w:t>
            </w:r>
            <w:r w:rsidR="00F02C14">
              <w:t xml:space="preserve"> </w:t>
            </w:r>
            <w:r w:rsidR="00F02C14" w:rsidRPr="007F2983">
              <w:t xml:space="preserve">and other systems, and (e) replacing wayfinding signage and graphics in the Domestic Terminal, ticketing and baggage claim areas, circulation corridors, west crossover, atrium and lower-level tunnels; (VI) installation and equipping of (a) three (3) additional passenger checkpoint lanes and security equipment at the Lower North Employee Security Checkpoint (b) upgraded security equipment and lighting, (c) implementing a Xovis  advanced people tracking system, (d) </w:t>
            </w:r>
            <w:r w:rsidR="00F02C14" w:rsidRPr="008C727F">
              <w:rPr>
                <w:color w:val="auto"/>
              </w:rPr>
              <w:t xml:space="preserve">new storefront passenger and employee facing entrances into facility </w:t>
            </w:r>
            <w:r w:rsidR="00F02C14" w:rsidRPr="007F2983">
              <w:t>(e) optical turnstiles,  (f) Advanced Imaging Technology body scanners, (g) a Notifier System (h) permanent signage, and (i) relocating existing sprinkler systems and security cameras to optimize processing times for passengers; (VII) replacing the paging system components</w:t>
            </w:r>
            <w:r w:rsidR="00F02C14" w:rsidRPr="007F2983">
              <w:rPr>
                <w:lang w:bidi="he-IL"/>
              </w:rPr>
              <w:t xml:space="preserve"> and speakers, wires, and mic stations for the North and South Domestic Terminals, Atrium, Concourse D and Concourse E; and (VIII) extending the Atlanta Airport Terminal</w:t>
            </w:r>
            <w:r w:rsidR="00F02C14">
              <w:rPr>
                <w:lang w:bidi="he-IL"/>
              </w:rPr>
              <w:t xml:space="preserve"> Company (AATC) offices at Concourse T, including approximately 5,600 square feet and installation of base building utility supply lines and equipment; and reconfiguring and the existing concourse terminal building</w:t>
            </w:r>
            <w:r w:rsidR="00F02C14" w:rsidRPr="00C22268">
              <w:rPr>
                <w:lang w:bidi="he-IL"/>
              </w:rPr>
              <w:t>;</w:t>
            </w:r>
            <w:r w:rsidR="00F02C14" w:rsidRPr="00C22268">
              <w:t xml:space="preserve"> </w:t>
            </w:r>
            <w:r w:rsidR="00612E0D" w:rsidRPr="00C22268">
              <w:rPr>
                <w:lang w:bidi="he-IL"/>
              </w:rPr>
              <w:t xml:space="preserve">and (B) the costs of issuing the revenue bonds.    </w:t>
            </w:r>
          </w:p>
          <w:p w14:paraId="2BE34DA4" w14:textId="59595672" w:rsidR="00C22268" w:rsidRPr="00C22268" w:rsidRDefault="00C22268" w:rsidP="00C22268">
            <w:pPr>
              <w:pStyle w:val="BodyText"/>
              <w:ind w:firstLine="0"/>
              <w:rPr>
                <w:sz w:val="21"/>
                <w:szCs w:val="21"/>
              </w:rPr>
            </w:pPr>
          </w:p>
          <w:p w14:paraId="4A264AFE" w14:textId="6DA47FFE" w:rsidR="00F61B06" w:rsidRPr="00C22268" w:rsidRDefault="00C22268" w:rsidP="00C22268">
            <w:pPr>
              <w:pStyle w:val="BodyText"/>
              <w:ind w:firstLine="0"/>
              <w:rPr>
                <w:sz w:val="21"/>
                <w:szCs w:val="21"/>
              </w:rPr>
            </w:pPr>
            <w:r w:rsidRPr="00C22268">
              <w:rPr>
                <w:sz w:val="21"/>
                <w:szCs w:val="21"/>
                <w:lang w:bidi="he-IL"/>
              </w:rPr>
              <w:t xml:space="preserve">  </w:t>
            </w:r>
          </w:p>
        </w:tc>
      </w:tr>
      <w:tr w:rsidR="00AE60A0" w:rsidRPr="00951750" w14:paraId="2DCF1001" w14:textId="77777777" w:rsidTr="00F92738">
        <w:trPr>
          <w:trHeight w:val="73"/>
        </w:trPr>
        <w:tc>
          <w:tcPr>
            <w:tcW w:w="1280" w:type="dxa"/>
            <w:shd w:val="clear" w:color="auto" w:fill="auto"/>
          </w:tcPr>
          <w:p w14:paraId="3FC191E7" w14:textId="77777777" w:rsidR="00AE60A0" w:rsidRPr="00951750" w:rsidRDefault="00AE60A0" w:rsidP="000F4418">
            <w:pPr>
              <w:pStyle w:val="BodyText"/>
              <w:pageBreakBefore/>
              <w:ind w:firstLine="0"/>
              <w:rPr>
                <w:b/>
                <w:sz w:val="21"/>
                <w:szCs w:val="21"/>
              </w:rPr>
            </w:pPr>
            <w:r w:rsidRPr="00951750">
              <w:rPr>
                <w:b/>
                <w:sz w:val="21"/>
                <w:szCs w:val="21"/>
              </w:rPr>
              <w:lastRenderedPageBreak/>
              <w:t>HEARING</w:t>
            </w:r>
            <w:r w:rsidRPr="00951750">
              <w:rPr>
                <w:b/>
                <w:sz w:val="21"/>
                <w:szCs w:val="21"/>
              </w:rPr>
              <w:br/>
              <w:t>OFFICER:</w:t>
            </w:r>
          </w:p>
        </w:tc>
        <w:tc>
          <w:tcPr>
            <w:tcW w:w="8143" w:type="dxa"/>
            <w:shd w:val="clear" w:color="auto" w:fill="auto"/>
          </w:tcPr>
          <w:p w14:paraId="0007297B" w14:textId="308AC974" w:rsidR="00AE60A0" w:rsidRPr="00E46F22" w:rsidRDefault="00AE60A0" w:rsidP="000F4418">
            <w:pPr>
              <w:pStyle w:val="BodyText"/>
              <w:pageBreakBefore/>
              <w:ind w:firstLine="0"/>
              <w:rPr>
                <w:kern w:val="28"/>
                <w:sz w:val="21"/>
                <w:szCs w:val="21"/>
              </w:rPr>
            </w:pPr>
            <w:r w:rsidRPr="0067053B">
              <w:rPr>
                <w:color w:val="auto"/>
                <w:kern w:val="28"/>
                <w:sz w:val="21"/>
                <w:szCs w:val="21"/>
              </w:rPr>
              <w:t>The public hearin</w:t>
            </w:r>
            <w:bookmarkStart w:id="1" w:name="_cp_text_1_40"/>
            <w:r w:rsidR="00713AA1" w:rsidRPr="0067053B">
              <w:rPr>
                <w:color w:val="auto"/>
                <w:kern w:val="28"/>
                <w:sz w:val="21"/>
                <w:szCs w:val="21"/>
              </w:rPr>
              <w:t xml:space="preserve">g for this matter is now open.  </w:t>
            </w:r>
            <w:r w:rsidRPr="0067053B">
              <w:rPr>
                <w:color w:val="auto"/>
                <w:kern w:val="28"/>
                <w:sz w:val="21"/>
                <w:szCs w:val="21"/>
              </w:rPr>
              <w:t xml:space="preserve">The City has caused Notice of the Public Hearing to be posted on the City’s website </w:t>
            </w:r>
            <w:r w:rsidR="00E11184">
              <w:rPr>
                <w:color w:val="auto"/>
                <w:kern w:val="28"/>
                <w:sz w:val="21"/>
                <w:szCs w:val="21"/>
              </w:rPr>
              <w:t>at http:</w:t>
            </w:r>
            <w:r w:rsidR="0053248E">
              <w:rPr>
                <w:color w:val="auto"/>
                <w:kern w:val="28"/>
                <w:sz w:val="21"/>
                <w:szCs w:val="21"/>
              </w:rPr>
              <w:t xml:space="preserve"> </w:t>
            </w:r>
            <w:hyperlink r:id="rId7" w:history="1">
              <w:r w:rsidR="00E46F22" w:rsidRPr="006D2DEB">
                <w:rPr>
                  <w:rStyle w:val="Hyperlink"/>
                  <w:kern w:val="28"/>
                  <w:sz w:val="21"/>
                  <w:szCs w:val="21"/>
                </w:rPr>
                <w:t>www.atlantaga.gov</w:t>
              </w:r>
            </w:hyperlink>
            <w:r w:rsidR="00E46F22">
              <w:rPr>
                <w:kern w:val="28"/>
                <w:sz w:val="21"/>
                <w:szCs w:val="21"/>
              </w:rPr>
              <w:t xml:space="preserve"> </w:t>
            </w:r>
            <w:r w:rsidR="0053248E">
              <w:rPr>
                <w:color w:val="auto"/>
                <w:kern w:val="28"/>
                <w:sz w:val="21"/>
                <w:szCs w:val="21"/>
              </w:rPr>
              <w:t xml:space="preserve"> </w:t>
            </w:r>
            <w:r w:rsidRPr="0067053B">
              <w:rPr>
                <w:color w:val="auto"/>
                <w:kern w:val="28"/>
                <w:sz w:val="21"/>
                <w:szCs w:val="21"/>
              </w:rPr>
              <w:t>on</w:t>
            </w:r>
            <w:bookmarkEnd w:id="1"/>
            <w:r w:rsidR="00065E09">
              <w:rPr>
                <w:color w:val="auto"/>
                <w:kern w:val="28"/>
                <w:sz w:val="21"/>
                <w:szCs w:val="21"/>
              </w:rPr>
              <w:t xml:space="preserve"> </w:t>
            </w:r>
            <w:r w:rsidR="00A219AE">
              <w:rPr>
                <w:color w:val="auto"/>
                <w:kern w:val="28"/>
                <w:sz w:val="21"/>
                <w:szCs w:val="21"/>
              </w:rPr>
              <w:t>May 2</w:t>
            </w:r>
            <w:r w:rsidR="00E46F22">
              <w:rPr>
                <w:color w:val="auto"/>
                <w:kern w:val="28"/>
                <w:sz w:val="21"/>
                <w:szCs w:val="21"/>
              </w:rPr>
              <w:t>2</w:t>
            </w:r>
            <w:r w:rsidR="00A219AE">
              <w:rPr>
                <w:color w:val="auto"/>
                <w:kern w:val="28"/>
                <w:sz w:val="21"/>
                <w:szCs w:val="21"/>
              </w:rPr>
              <w:t>,</w:t>
            </w:r>
            <w:r w:rsidR="003D0A7B" w:rsidRPr="0067053B">
              <w:rPr>
                <w:color w:val="auto"/>
                <w:kern w:val="28"/>
                <w:sz w:val="21"/>
                <w:szCs w:val="21"/>
              </w:rPr>
              <w:t xml:space="preserve"> 202</w:t>
            </w:r>
            <w:r w:rsidR="00F92738">
              <w:rPr>
                <w:color w:val="auto"/>
                <w:kern w:val="28"/>
                <w:sz w:val="21"/>
                <w:szCs w:val="21"/>
              </w:rPr>
              <w:t>4</w:t>
            </w:r>
            <w:r w:rsidRPr="0067053B">
              <w:rPr>
                <w:color w:val="auto"/>
                <w:kern w:val="28"/>
                <w:sz w:val="21"/>
                <w:szCs w:val="21"/>
              </w:rPr>
              <w:t>.</w:t>
            </w:r>
          </w:p>
        </w:tc>
      </w:tr>
      <w:tr w:rsidR="00AE60A0" w:rsidRPr="00951750" w14:paraId="181013B0" w14:textId="77777777" w:rsidTr="00AE60A0">
        <w:tc>
          <w:tcPr>
            <w:tcW w:w="1280" w:type="dxa"/>
            <w:shd w:val="clear" w:color="auto" w:fill="auto"/>
          </w:tcPr>
          <w:p w14:paraId="7BA5B24E" w14:textId="77777777" w:rsidR="00AE60A0" w:rsidRPr="00951750" w:rsidRDefault="00AE60A0" w:rsidP="00AE60A0">
            <w:pPr>
              <w:pStyle w:val="BodyText"/>
              <w:ind w:firstLine="0"/>
              <w:rPr>
                <w:b/>
                <w:sz w:val="21"/>
                <w:szCs w:val="21"/>
              </w:rPr>
            </w:pPr>
            <w:r w:rsidRPr="00951750">
              <w:rPr>
                <w:b/>
                <w:sz w:val="21"/>
                <w:szCs w:val="21"/>
              </w:rPr>
              <w:t>HEARING</w:t>
            </w:r>
            <w:r w:rsidRPr="00951750">
              <w:rPr>
                <w:b/>
                <w:sz w:val="21"/>
                <w:szCs w:val="21"/>
              </w:rPr>
              <w:br/>
              <w:t>OFFICER:</w:t>
            </w:r>
          </w:p>
        </w:tc>
        <w:tc>
          <w:tcPr>
            <w:tcW w:w="8143" w:type="dxa"/>
            <w:shd w:val="clear" w:color="auto" w:fill="auto"/>
          </w:tcPr>
          <w:p w14:paraId="1EB64DCE" w14:textId="4F02E478" w:rsidR="00AE60A0" w:rsidRPr="00951750" w:rsidRDefault="00AE60A0" w:rsidP="00AE60A0">
            <w:pPr>
              <w:pStyle w:val="BodyText"/>
              <w:ind w:firstLine="0"/>
              <w:rPr>
                <w:sz w:val="21"/>
                <w:szCs w:val="21"/>
              </w:rPr>
            </w:pPr>
            <w:r w:rsidRPr="00951750">
              <w:rPr>
                <w:sz w:val="21"/>
                <w:szCs w:val="21"/>
              </w:rPr>
              <w:t xml:space="preserve">Is there anyone in </w:t>
            </w:r>
            <w:r w:rsidR="0082200D" w:rsidRPr="00951750">
              <w:rPr>
                <w:sz w:val="21"/>
                <w:szCs w:val="21"/>
              </w:rPr>
              <w:t xml:space="preserve">attendance </w:t>
            </w:r>
            <w:r w:rsidRPr="00951750">
              <w:rPr>
                <w:sz w:val="21"/>
                <w:szCs w:val="21"/>
              </w:rPr>
              <w:t xml:space="preserve">who wishes to be heard upon the proposed issuance by the City of Atlanta of its not-to-exceed </w:t>
            </w:r>
            <w:r w:rsidR="0067053B" w:rsidRPr="00951750">
              <w:rPr>
                <w:sz w:val="21"/>
                <w:szCs w:val="21"/>
              </w:rPr>
              <w:t>$</w:t>
            </w:r>
            <w:r w:rsidR="007F2983">
              <w:rPr>
                <w:sz w:val="21"/>
                <w:szCs w:val="21"/>
              </w:rPr>
              <w:t>600</w:t>
            </w:r>
            <w:r w:rsidR="0067053B" w:rsidRPr="00951750">
              <w:rPr>
                <w:sz w:val="21"/>
                <w:szCs w:val="21"/>
              </w:rPr>
              <w:t>,000,000</w:t>
            </w:r>
            <w:r w:rsidRPr="00951750">
              <w:rPr>
                <w:sz w:val="21"/>
                <w:szCs w:val="21"/>
              </w:rPr>
              <w:t xml:space="preserve"> principal amount of Airport Revenue Bonds</w:t>
            </w:r>
            <w:r w:rsidR="00C74251" w:rsidRPr="00951750">
              <w:t xml:space="preserve"> </w:t>
            </w:r>
            <w:r w:rsidR="00C74251" w:rsidRPr="00951750">
              <w:rPr>
                <w:sz w:val="21"/>
                <w:szCs w:val="21"/>
              </w:rPr>
              <w:t>and the location and nature of the proposed project(s) to be financed</w:t>
            </w:r>
            <w:r w:rsidRPr="00951750">
              <w:rPr>
                <w:sz w:val="21"/>
                <w:szCs w:val="21"/>
              </w:rPr>
              <w:t>?</w:t>
            </w:r>
          </w:p>
          <w:p w14:paraId="52D387DD" w14:textId="77777777" w:rsidR="00AE60A0" w:rsidRPr="00951750" w:rsidRDefault="00AE60A0" w:rsidP="00AE60A0">
            <w:pPr>
              <w:pStyle w:val="BodyText"/>
              <w:ind w:firstLine="0"/>
              <w:rPr>
                <w:b/>
                <w:sz w:val="21"/>
                <w:szCs w:val="21"/>
              </w:rPr>
            </w:pPr>
            <w:r w:rsidRPr="00951750">
              <w:rPr>
                <w:b/>
                <w:sz w:val="21"/>
                <w:szCs w:val="21"/>
              </w:rPr>
              <w:t>[Hearing no comments]:</w:t>
            </w:r>
          </w:p>
        </w:tc>
      </w:tr>
      <w:tr w:rsidR="00AE60A0" w:rsidRPr="00951750" w14:paraId="3D2F8809" w14:textId="77777777" w:rsidTr="00AE60A0">
        <w:tc>
          <w:tcPr>
            <w:tcW w:w="1280" w:type="dxa"/>
            <w:shd w:val="clear" w:color="auto" w:fill="auto"/>
          </w:tcPr>
          <w:p w14:paraId="3BCFF7B7" w14:textId="77777777" w:rsidR="00AE60A0" w:rsidRPr="00951750" w:rsidRDefault="00AE60A0" w:rsidP="00AE60A0">
            <w:pPr>
              <w:pStyle w:val="BodyText"/>
              <w:ind w:firstLine="0"/>
              <w:rPr>
                <w:b/>
                <w:sz w:val="21"/>
                <w:szCs w:val="21"/>
              </w:rPr>
            </w:pPr>
            <w:r w:rsidRPr="00951750">
              <w:rPr>
                <w:b/>
                <w:sz w:val="21"/>
                <w:szCs w:val="21"/>
              </w:rPr>
              <w:t>HEARING</w:t>
            </w:r>
            <w:r w:rsidRPr="00951750">
              <w:rPr>
                <w:b/>
                <w:sz w:val="21"/>
                <w:szCs w:val="21"/>
              </w:rPr>
              <w:br/>
              <w:t>OFFICER:</w:t>
            </w:r>
          </w:p>
        </w:tc>
        <w:tc>
          <w:tcPr>
            <w:tcW w:w="8143" w:type="dxa"/>
            <w:shd w:val="clear" w:color="auto" w:fill="auto"/>
          </w:tcPr>
          <w:p w14:paraId="345F0AD6" w14:textId="77777777" w:rsidR="00AE60A0" w:rsidRPr="00951750" w:rsidRDefault="00AE60A0" w:rsidP="00AE60A0">
            <w:pPr>
              <w:pStyle w:val="BodyText"/>
              <w:ind w:firstLine="0"/>
              <w:rPr>
                <w:sz w:val="21"/>
                <w:szCs w:val="21"/>
              </w:rPr>
            </w:pPr>
            <w:r w:rsidRPr="00951750">
              <w:rPr>
                <w:sz w:val="21"/>
                <w:szCs w:val="21"/>
              </w:rPr>
              <w:t>The public hearing for this matter is now closed.</w:t>
            </w:r>
          </w:p>
        </w:tc>
      </w:tr>
    </w:tbl>
    <w:p w14:paraId="577B3519" w14:textId="395E20F7" w:rsidR="00C74251" w:rsidRPr="005F4158" w:rsidRDefault="00C74251" w:rsidP="003F3489">
      <w:pPr>
        <w:suppressAutoHyphens/>
        <w:spacing w:after="240"/>
        <w:jc w:val="center"/>
        <w:rPr>
          <w:sz w:val="21"/>
          <w:szCs w:val="21"/>
        </w:rPr>
      </w:pPr>
    </w:p>
    <w:sectPr w:rsidR="00C74251" w:rsidRPr="005F4158" w:rsidSect="00676078">
      <w:footerReference w:type="default" r:id="rId8"/>
      <w:pgSz w:w="12240" w:h="15840" w:code="1"/>
      <w:pgMar w:top="1440" w:right="1440" w:bottom="1440" w:left="1440" w:header="720" w:footer="540" w:gutter="0"/>
      <w:paperSrc w:first="2" w:other="2"/>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27ACB" w14:textId="77777777" w:rsidR="00803C28" w:rsidRDefault="00803C28">
      <w:r>
        <w:separator/>
      </w:r>
    </w:p>
  </w:endnote>
  <w:endnote w:type="continuationSeparator" w:id="0">
    <w:p w14:paraId="063DC8FB" w14:textId="77777777" w:rsidR="00803C28" w:rsidRDefault="0080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0BDC" w14:textId="66825BC6" w:rsidR="002E1541" w:rsidRDefault="002E1541" w:rsidP="002E1541">
    <w:pPr>
      <w:spacing w:line="180" w:lineRule="exact"/>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2B214" w14:textId="77777777" w:rsidR="00803C28" w:rsidRDefault="00803C28">
      <w:r>
        <w:separator/>
      </w:r>
    </w:p>
  </w:footnote>
  <w:footnote w:type="continuationSeparator" w:id="0">
    <w:p w14:paraId="36AE0CBD" w14:textId="77777777" w:rsidR="00803C28" w:rsidRDefault="00803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40002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2441F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92C727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37819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84471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0CC4A1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74A0B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B4B1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62A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AEC6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F20334A"/>
    <w:multiLevelType w:val="multilevel"/>
    <w:tmpl w:val="C82E1D5E"/>
    <w:lvl w:ilvl="0">
      <w:start w:val="1"/>
      <w:numFmt w:val="decimal"/>
      <w:pStyle w:val="Heading1"/>
      <w:lvlText w:val="(%1)"/>
      <w:lvlJc w:val="left"/>
      <w:pPr>
        <w:tabs>
          <w:tab w:val="num" w:pos="36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Heading2"/>
      <w:suff w:val="nothing"/>
      <w:lvlText w:val=""/>
      <w:lvlJc w:val="left"/>
      <w:pPr>
        <w:tabs>
          <w:tab w:val="num" w:pos="108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pStyle w:val="Heading3"/>
      <w:suff w:val="nothing"/>
      <w:lvlText w:val=""/>
      <w:lvlJc w:val="left"/>
      <w:pPr>
        <w:tabs>
          <w:tab w:val="num" w:pos="180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pStyle w:val="Heading4"/>
      <w:suff w:val="nothing"/>
      <w:lvlText w:val=""/>
      <w:lvlJc w:val="left"/>
      <w:pPr>
        <w:tabs>
          <w:tab w:val="num" w:pos="252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Heading5"/>
      <w:suff w:val="nothing"/>
      <w:lvlText w:val=""/>
      <w:lvlJc w:val="left"/>
      <w:pPr>
        <w:tabs>
          <w:tab w:val="num" w:pos="324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tabs>
          <w:tab w:val="num" w:pos="396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tabs>
          <w:tab w:val="num" w:pos="468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tabs>
          <w:tab w:val="num" w:pos="540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left"/>
      <w:pPr>
        <w:tabs>
          <w:tab w:val="num" w:pos="612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5146DC1"/>
    <w:multiLevelType w:val="hybridMultilevel"/>
    <w:tmpl w:val="65C81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1047483">
    <w:abstractNumId w:val="9"/>
  </w:num>
  <w:num w:numId="2" w16cid:durableId="1353992682">
    <w:abstractNumId w:val="7"/>
  </w:num>
  <w:num w:numId="3" w16cid:durableId="1317609886">
    <w:abstractNumId w:val="6"/>
  </w:num>
  <w:num w:numId="4" w16cid:durableId="1352873857">
    <w:abstractNumId w:val="5"/>
  </w:num>
  <w:num w:numId="5" w16cid:durableId="20669826">
    <w:abstractNumId w:val="4"/>
  </w:num>
  <w:num w:numId="6" w16cid:durableId="2087532668">
    <w:abstractNumId w:val="8"/>
  </w:num>
  <w:num w:numId="7" w16cid:durableId="906959369">
    <w:abstractNumId w:val="3"/>
  </w:num>
  <w:num w:numId="8" w16cid:durableId="240454498">
    <w:abstractNumId w:val="2"/>
  </w:num>
  <w:num w:numId="9" w16cid:durableId="1665350723">
    <w:abstractNumId w:val="1"/>
  </w:num>
  <w:num w:numId="10" w16cid:durableId="432939770">
    <w:abstractNumId w:val="0"/>
  </w:num>
  <w:num w:numId="11" w16cid:durableId="184516338">
    <w:abstractNumId w:val="9"/>
  </w:num>
  <w:num w:numId="12" w16cid:durableId="1505364711">
    <w:abstractNumId w:val="10"/>
  </w:num>
  <w:num w:numId="13" w16cid:durableId="19620272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Number" w:val="178623"/>
    <w:docVar w:name="DOCX97_1" w:val="3ttr03!.doc"/>
    <w:docVar w:name="DOCX97_10" w:val="3/27/00 11:07:14 AM"/>
    <w:docVar w:name="DOCX97_2" w:val="s:\huntonwilliams_source\hw_022001\conversion\atlanta\target\02092001-151030\docsopen\atlanta\07721\46738\000003\3ttr03!.doc"/>
    <w:docVar w:name="DOCX97_3" w:val="WORD7"/>
    <w:docVar w:name="DOCX97_4" w:val="s:\huntonwilliams_target\hw_022001\conversion\atlanta\target\02092001-151030\docsopen\atlanta\07721\46738\000003\3ttr03!.doc"/>
    <w:docVar w:name="DOCX97_5" w:val=" 37888"/>
    <w:docVar w:name="DOCX97_6" w:val="67072"/>
    <w:docVar w:name="DOCX97_66" w:val="GoodQuotes"/>
    <w:docVar w:name="DOCX97_8" w:val="2/21/01 7:05:18 AM"/>
    <w:docVar w:name="DOCX97_89" w:val="Word7MacrosDone"/>
    <w:docVar w:name="DOCX97_91" w:val="HuntonWilliams"/>
    <w:docVar w:name="DOCX97_92" w:val="2/21/01"/>
    <w:docVar w:name="DOCX97_93" w:val="7:05:31 AM"/>
    <w:docVar w:name="ndGeneratedStamp" w:val="4891-1806-3286, v. 3"/>
    <w:docVar w:name="ndGeneratedStampLocation" w:val="EachPage"/>
    <w:docVar w:name="SWActiveDesign" w:val="Heading"/>
    <w:docVar w:name="SWAllDesigns" w:val="Heading|"/>
    <w:docVar w:name="SWAllLineBreaks" w:val="Heading~~0|0|0|0|0|0|0|0|0|@@"/>
    <w:docVar w:name="SWDocIDDate" w:val="0"/>
    <w:docVar w:name="SWDocIDLayout" w:val="10001"/>
    <w:docVar w:name="SWDocIDLocation" w:val="3"/>
  </w:docVars>
  <w:rsids>
    <w:rsidRoot w:val="005E3DA4"/>
    <w:rsid w:val="000149A1"/>
    <w:rsid w:val="0001662D"/>
    <w:rsid w:val="0002166D"/>
    <w:rsid w:val="0002489A"/>
    <w:rsid w:val="00037226"/>
    <w:rsid w:val="00052A20"/>
    <w:rsid w:val="00053DD4"/>
    <w:rsid w:val="00065E09"/>
    <w:rsid w:val="00085F39"/>
    <w:rsid w:val="00095D36"/>
    <w:rsid w:val="00097A83"/>
    <w:rsid w:val="000C33BE"/>
    <w:rsid w:val="000C5180"/>
    <w:rsid w:val="000D0C73"/>
    <w:rsid w:val="000D28F6"/>
    <w:rsid w:val="000D3B0D"/>
    <w:rsid w:val="000E22D0"/>
    <w:rsid w:val="000E290D"/>
    <w:rsid w:val="000F4418"/>
    <w:rsid w:val="00110839"/>
    <w:rsid w:val="00111439"/>
    <w:rsid w:val="00114175"/>
    <w:rsid w:val="00126809"/>
    <w:rsid w:val="0013377D"/>
    <w:rsid w:val="00147F69"/>
    <w:rsid w:val="001509E2"/>
    <w:rsid w:val="00154C55"/>
    <w:rsid w:val="001574F2"/>
    <w:rsid w:val="0016715D"/>
    <w:rsid w:val="00184E47"/>
    <w:rsid w:val="00191475"/>
    <w:rsid w:val="001965F7"/>
    <w:rsid w:val="001B5BA7"/>
    <w:rsid w:val="001D5602"/>
    <w:rsid w:val="001F0054"/>
    <w:rsid w:val="00211D4A"/>
    <w:rsid w:val="00242A3B"/>
    <w:rsid w:val="00266C6E"/>
    <w:rsid w:val="002736E9"/>
    <w:rsid w:val="002819CB"/>
    <w:rsid w:val="00286ED7"/>
    <w:rsid w:val="002B053D"/>
    <w:rsid w:val="002B1140"/>
    <w:rsid w:val="002B5E79"/>
    <w:rsid w:val="002C6562"/>
    <w:rsid w:val="002D3987"/>
    <w:rsid w:val="002D3DF4"/>
    <w:rsid w:val="002E08A1"/>
    <w:rsid w:val="002E1541"/>
    <w:rsid w:val="002E710F"/>
    <w:rsid w:val="002F7588"/>
    <w:rsid w:val="00303E3C"/>
    <w:rsid w:val="00321D88"/>
    <w:rsid w:val="00335D03"/>
    <w:rsid w:val="00357014"/>
    <w:rsid w:val="003777C0"/>
    <w:rsid w:val="00380AD6"/>
    <w:rsid w:val="003851EC"/>
    <w:rsid w:val="003854B1"/>
    <w:rsid w:val="00390E28"/>
    <w:rsid w:val="0039474B"/>
    <w:rsid w:val="00394F2B"/>
    <w:rsid w:val="003B09EA"/>
    <w:rsid w:val="003B4981"/>
    <w:rsid w:val="003B5B34"/>
    <w:rsid w:val="003B5DAB"/>
    <w:rsid w:val="003C540B"/>
    <w:rsid w:val="003C5790"/>
    <w:rsid w:val="003C5FB5"/>
    <w:rsid w:val="003D0A7B"/>
    <w:rsid w:val="003D24AB"/>
    <w:rsid w:val="003E6107"/>
    <w:rsid w:val="003F0F05"/>
    <w:rsid w:val="003F11CD"/>
    <w:rsid w:val="003F3489"/>
    <w:rsid w:val="003F7845"/>
    <w:rsid w:val="003F7E7B"/>
    <w:rsid w:val="00416A46"/>
    <w:rsid w:val="0042367D"/>
    <w:rsid w:val="004436DB"/>
    <w:rsid w:val="00443A6F"/>
    <w:rsid w:val="004816E2"/>
    <w:rsid w:val="00496352"/>
    <w:rsid w:val="00497996"/>
    <w:rsid w:val="004A0489"/>
    <w:rsid w:val="004C0864"/>
    <w:rsid w:val="004C6EC0"/>
    <w:rsid w:val="004D2B05"/>
    <w:rsid w:val="004E67CD"/>
    <w:rsid w:val="004E7335"/>
    <w:rsid w:val="004F30E5"/>
    <w:rsid w:val="00502D45"/>
    <w:rsid w:val="00526131"/>
    <w:rsid w:val="0053248E"/>
    <w:rsid w:val="00564807"/>
    <w:rsid w:val="005648E3"/>
    <w:rsid w:val="00572927"/>
    <w:rsid w:val="00575AFB"/>
    <w:rsid w:val="005A14E0"/>
    <w:rsid w:val="005A2098"/>
    <w:rsid w:val="005A58F1"/>
    <w:rsid w:val="005C3263"/>
    <w:rsid w:val="005D7FC5"/>
    <w:rsid w:val="005E3DA4"/>
    <w:rsid w:val="005F057C"/>
    <w:rsid w:val="006035C7"/>
    <w:rsid w:val="00604F78"/>
    <w:rsid w:val="00612E0D"/>
    <w:rsid w:val="006153A8"/>
    <w:rsid w:val="00616AB6"/>
    <w:rsid w:val="006219E0"/>
    <w:rsid w:val="00641C0D"/>
    <w:rsid w:val="00664095"/>
    <w:rsid w:val="006679B3"/>
    <w:rsid w:val="0067053B"/>
    <w:rsid w:val="006739A9"/>
    <w:rsid w:val="00676078"/>
    <w:rsid w:val="00685CFE"/>
    <w:rsid w:val="00687E84"/>
    <w:rsid w:val="00691032"/>
    <w:rsid w:val="006B33D8"/>
    <w:rsid w:val="006B5796"/>
    <w:rsid w:val="006B603C"/>
    <w:rsid w:val="006F2A21"/>
    <w:rsid w:val="00705FA0"/>
    <w:rsid w:val="00707806"/>
    <w:rsid w:val="007121C2"/>
    <w:rsid w:val="007127E2"/>
    <w:rsid w:val="00713AA1"/>
    <w:rsid w:val="00715E3C"/>
    <w:rsid w:val="00731F8F"/>
    <w:rsid w:val="00733238"/>
    <w:rsid w:val="00733BAF"/>
    <w:rsid w:val="007411A8"/>
    <w:rsid w:val="007515AB"/>
    <w:rsid w:val="00752CE6"/>
    <w:rsid w:val="007632BA"/>
    <w:rsid w:val="00765FCD"/>
    <w:rsid w:val="00767389"/>
    <w:rsid w:val="007850F5"/>
    <w:rsid w:val="00793D7B"/>
    <w:rsid w:val="007F2983"/>
    <w:rsid w:val="00803C28"/>
    <w:rsid w:val="00816681"/>
    <w:rsid w:val="0082200D"/>
    <w:rsid w:val="00833CCE"/>
    <w:rsid w:val="008349CB"/>
    <w:rsid w:val="008403C2"/>
    <w:rsid w:val="008413ED"/>
    <w:rsid w:val="00852C1B"/>
    <w:rsid w:val="00864D41"/>
    <w:rsid w:val="00870CE9"/>
    <w:rsid w:val="00875B7B"/>
    <w:rsid w:val="0088641F"/>
    <w:rsid w:val="008A7D12"/>
    <w:rsid w:val="008B1CF7"/>
    <w:rsid w:val="008B5BF9"/>
    <w:rsid w:val="008C727F"/>
    <w:rsid w:val="008D31CE"/>
    <w:rsid w:val="008E4CD4"/>
    <w:rsid w:val="008F381C"/>
    <w:rsid w:val="008F5C29"/>
    <w:rsid w:val="00907AF5"/>
    <w:rsid w:val="00927043"/>
    <w:rsid w:val="00934074"/>
    <w:rsid w:val="00946C5D"/>
    <w:rsid w:val="00951750"/>
    <w:rsid w:val="00957B53"/>
    <w:rsid w:val="00972F78"/>
    <w:rsid w:val="0099186B"/>
    <w:rsid w:val="009A0D81"/>
    <w:rsid w:val="009A2B8C"/>
    <w:rsid w:val="009A500D"/>
    <w:rsid w:val="009A6344"/>
    <w:rsid w:val="009B326D"/>
    <w:rsid w:val="009C3423"/>
    <w:rsid w:val="009C4BEE"/>
    <w:rsid w:val="009E155A"/>
    <w:rsid w:val="009E2278"/>
    <w:rsid w:val="009E2631"/>
    <w:rsid w:val="009E4E6C"/>
    <w:rsid w:val="009E7D8B"/>
    <w:rsid w:val="009F4F7E"/>
    <w:rsid w:val="009F6E1A"/>
    <w:rsid w:val="00A02A8B"/>
    <w:rsid w:val="00A13F97"/>
    <w:rsid w:val="00A14C6C"/>
    <w:rsid w:val="00A1552F"/>
    <w:rsid w:val="00A219AE"/>
    <w:rsid w:val="00A32E7B"/>
    <w:rsid w:val="00A421F9"/>
    <w:rsid w:val="00A547DF"/>
    <w:rsid w:val="00A65DFF"/>
    <w:rsid w:val="00A81BB1"/>
    <w:rsid w:val="00A83552"/>
    <w:rsid w:val="00A90E4C"/>
    <w:rsid w:val="00AA1154"/>
    <w:rsid w:val="00AB2222"/>
    <w:rsid w:val="00AB278A"/>
    <w:rsid w:val="00AB3425"/>
    <w:rsid w:val="00AC5F57"/>
    <w:rsid w:val="00AD0BA9"/>
    <w:rsid w:val="00AE2428"/>
    <w:rsid w:val="00AE60A0"/>
    <w:rsid w:val="00B06F79"/>
    <w:rsid w:val="00B2114D"/>
    <w:rsid w:val="00B33CBE"/>
    <w:rsid w:val="00B421EC"/>
    <w:rsid w:val="00B51E16"/>
    <w:rsid w:val="00B560C9"/>
    <w:rsid w:val="00B7291C"/>
    <w:rsid w:val="00B74B0E"/>
    <w:rsid w:val="00B826D5"/>
    <w:rsid w:val="00B828E4"/>
    <w:rsid w:val="00BB1489"/>
    <w:rsid w:val="00BB4FD5"/>
    <w:rsid w:val="00BB50F9"/>
    <w:rsid w:val="00BC16DE"/>
    <w:rsid w:val="00BC3A23"/>
    <w:rsid w:val="00BC7862"/>
    <w:rsid w:val="00BD74B5"/>
    <w:rsid w:val="00BE18DC"/>
    <w:rsid w:val="00BE5599"/>
    <w:rsid w:val="00C0381B"/>
    <w:rsid w:val="00C129B0"/>
    <w:rsid w:val="00C17F07"/>
    <w:rsid w:val="00C22268"/>
    <w:rsid w:val="00C228BB"/>
    <w:rsid w:val="00C74251"/>
    <w:rsid w:val="00CA16F5"/>
    <w:rsid w:val="00CB0A85"/>
    <w:rsid w:val="00CC0C60"/>
    <w:rsid w:val="00CD2898"/>
    <w:rsid w:val="00CD6113"/>
    <w:rsid w:val="00CF2D16"/>
    <w:rsid w:val="00D11DBD"/>
    <w:rsid w:val="00D14858"/>
    <w:rsid w:val="00D14CE9"/>
    <w:rsid w:val="00D22C93"/>
    <w:rsid w:val="00D27440"/>
    <w:rsid w:val="00D325D5"/>
    <w:rsid w:val="00D32BCC"/>
    <w:rsid w:val="00D376DB"/>
    <w:rsid w:val="00D4526C"/>
    <w:rsid w:val="00D57720"/>
    <w:rsid w:val="00D60613"/>
    <w:rsid w:val="00D7165C"/>
    <w:rsid w:val="00D77145"/>
    <w:rsid w:val="00D86774"/>
    <w:rsid w:val="00D9501A"/>
    <w:rsid w:val="00D95F92"/>
    <w:rsid w:val="00E11184"/>
    <w:rsid w:val="00E25C3E"/>
    <w:rsid w:val="00E27B76"/>
    <w:rsid w:val="00E35403"/>
    <w:rsid w:val="00E46F22"/>
    <w:rsid w:val="00E548E6"/>
    <w:rsid w:val="00E54AE7"/>
    <w:rsid w:val="00E768E5"/>
    <w:rsid w:val="00E77716"/>
    <w:rsid w:val="00E80308"/>
    <w:rsid w:val="00E81C41"/>
    <w:rsid w:val="00E83403"/>
    <w:rsid w:val="00E87D30"/>
    <w:rsid w:val="00EA4696"/>
    <w:rsid w:val="00EA51DA"/>
    <w:rsid w:val="00EA5FCB"/>
    <w:rsid w:val="00EB2B06"/>
    <w:rsid w:val="00EB3379"/>
    <w:rsid w:val="00EB51AD"/>
    <w:rsid w:val="00EC07AB"/>
    <w:rsid w:val="00ED2679"/>
    <w:rsid w:val="00ED5A03"/>
    <w:rsid w:val="00F00EB0"/>
    <w:rsid w:val="00F02C14"/>
    <w:rsid w:val="00F064D1"/>
    <w:rsid w:val="00F11461"/>
    <w:rsid w:val="00F12B30"/>
    <w:rsid w:val="00F15E84"/>
    <w:rsid w:val="00F16F02"/>
    <w:rsid w:val="00F30540"/>
    <w:rsid w:val="00F3692F"/>
    <w:rsid w:val="00F44FA9"/>
    <w:rsid w:val="00F518F1"/>
    <w:rsid w:val="00F538C1"/>
    <w:rsid w:val="00F61B06"/>
    <w:rsid w:val="00F7614E"/>
    <w:rsid w:val="00F92569"/>
    <w:rsid w:val="00F92738"/>
    <w:rsid w:val="00F95CC2"/>
    <w:rsid w:val="00F97457"/>
    <w:rsid w:val="00FA27F8"/>
    <w:rsid w:val="00FA4E2E"/>
    <w:rsid w:val="00FD3903"/>
    <w:rsid w:val="00FD43E8"/>
    <w:rsid w:val="00FD4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746B17"/>
  <w15:chartTrackingRefBased/>
  <w15:docId w15:val="{137AD76B-E277-438B-9BEF-4D612696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color w:val="000000"/>
    </w:rPr>
  </w:style>
  <w:style w:type="paragraph" w:styleId="Heading1">
    <w:name w:val="heading 1"/>
    <w:basedOn w:val="Normal"/>
    <w:next w:val="Normal"/>
    <w:link w:val="Heading1Char"/>
    <w:qFormat/>
    <w:rsid w:val="005F057C"/>
    <w:pPr>
      <w:keepNext/>
      <w:numPr>
        <w:numId w:val="12"/>
      </w:numPr>
      <w:tabs>
        <w:tab w:val="clear" w:pos="360"/>
      </w:tabs>
      <w:spacing w:after="240"/>
      <w:ind w:firstLine="1400"/>
      <w:jc w:val="both"/>
      <w:outlineLvl w:val="0"/>
    </w:pPr>
    <w:rPr>
      <w:bCs/>
      <w:sz w:val="24"/>
      <w:szCs w:val="24"/>
    </w:rPr>
  </w:style>
  <w:style w:type="paragraph" w:styleId="Heading2">
    <w:name w:val="heading 2"/>
    <w:basedOn w:val="Normal"/>
    <w:next w:val="Normal"/>
    <w:qFormat/>
    <w:rsid w:val="005F057C"/>
    <w:pPr>
      <w:keepNext/>
      <w:numPr>
        <w:ilvl w:val="1"/>
        <w:numId w:val="12"/>
      </w:numPr>
      <w:tabs>
        <w:tab w:val="clear" w:pos="1080"/>
      </w:tabs>
      <w:spacing w:after="240"/>
      <w:outlineLvl w:val="1"/>
    </w:pPr>
    <w:rPr>
      <w:rFonts w:cs="Arial"/>
      <w:bCs/>
      <w:iCs/>
      <w:szCs w:val="28"/>
    </w:rPr>
  </w:style>
  <w:style w:type="paragraph" w:styleId="Heading3">
    <w:name w:val="heading 3"/>
    <w:basedOn w:val="Normal"/>
    <w:next w:val="Normal"/>
    <w:qFormat/>
    <w:rsid w:val="005F057C"/>
    <w:pPr>
      <w:numPr>
        <w:ilvl w:val="2"/>
        <w:numId w:val="12"/>
      </w:numPr>
      <w:tabs>
        <w:tab w:val="clear" w:pos="1800"/>
      </w:tabs>
      <w:spacing w:after="240"/>
      <w:outlineLvl w:val="2"/>
    </w:pPr>
    <w:rPr>
      <w:rFonts w:cs="Arial"/>
      <w:bCs/>
      <w:szCs w:val="26"/>
    </w:rPr>
  </w:style>
  <w:style w:type="paragraph" w:styleId="Heading4">
    <w:name w:val="heading 4"/>
    <w:basedOn w:val="Normal"/>
    <w:next w:val="Normal"/>
    <w:qFormat/>
    <w:rsid w:val="005F057C"/>
    <w:pPr>
      <w:numPr>
        <w:ilvl w:val="3"/>
        <w:numId w:val="12"/>
      </w:numPr>
      <w:tabs>
        <w:tab w:val="clear" w:pos="2520"/>
      </w:tabs>
      <w:spacing w:after="240"/>
      <w:outlineLvl w:val="3"/>
    </w:pPr>
    <w:rPr>
      <w:rFonts w:cs="Arial"/>
      <w:bCs/>
      <w:szCs w:val="28"/>
    </w:rPr>
  </w:style>
  <w:style w:type="paragraph" w:styleId="Heading5">
    <w:name w:val="heading 5"/>
    <w:basedOn w:val="Normal"/>
    <w:next w:val="Normal"/>
    <w:qFormat/>
    <w:rsid w:val="005F057C"/>
    <w:pPr>
      <w:numPr>
        <w:ilvl w:val="4"/>
        <w:numId w:val="12"/>
      </w:numPr>
      <w:tabs>
        <w:tab w:val="clear" w:pos="3240"/>
      </w:tabs>
      <w:spacing w:after="240"/>
      <w:outlineLvl w:val="4"/>
    </w:pPr>
    <w:rPr>
      <w:rFonts w:cs="Arial"/>
      <w:bCs/>
      <w:iCs/>
      <w:szCs w:val="26"/>
    </w:rPr>
  </w:style>
  <w:style w:type="paragraph" w:styleId="Heading6">
    <w:name w:val="heading 6"/>
    <w:basedOn w:val="Normal"/>
    <w:next w:val="Normal"/>
    <w:qFormat/>
    <w:rsid w:val="005F057C"/>
    <w:pPr>
      <w:numPr>
        <w:ilvl w:val="5"/>
        <w:numId w:val="12"/>
      </w:numPr>
      <w:tabs>
        <w:tab w:val="clear" w:pos="3960"/>
      </w:tabs>
      <w:spacing w:after="240"/>
      <w:outlineLvl w:val="5"/>
    </w:pPr>
    <w:rPr>
      <w:rFonts w:cs="Arial"/>
      <w:bCs/>
      <w:szCs w:val="22"/>
    </w:rPr>
  </w:style>
  <w:style w:type="paragraph" w:styleId="Heading7">
    <w:name w:val="heading 7"/>
    <w:basedOn w:val="Normal"/>
    <w:next w:val="Normal"/>
    <w:qFormat/>
    <w:rsid w:val="005F057C"/>
    <w:pPr>
      <w:numPr>
        <w:ilvl w:val="6"/>
        <w:numId w:val="12"/>
      </w:numPr>
      <w:tabs>
        <w:tab w:val="clear" w:pos="4680"/>
      </w:tabs>
      <w:spacing w:after="240"/>
      <w:outlineLvl w:val="6"/>
    </w:pPr>
    <w:rPr>
      <w:rFonts w:cs="Arial"/>
    </w:rPr>
  </w:style>
  <w:style w:type="paragraph" w:styleId="Heading8">
    <w:name w:val="heading 8"/>
    <w:basedOn w:val="Normal"/>
    <w:next w:val="Normal"/>
    <w:qFormat/>
    <w:rsid w:val="005F057C"/>
    <w:pPr>
      <w:numPr>
        <w:ilvl w:val="7"/>
        <w:numId w:val="12"/>
      </w:numPr>
      <w:tabs>
        <w:tab w:val="clear" w:pos="5400"/>
      </w:tabs>
      <w:spacing w:after="240"/>
      <w:outlineLvl w:val="7"/>
    </w:pPr>
    <w:rPr>
      <w:rFonts w:cs="Arial"/>
      <w:iCs/>
    </w:rPr>
  </w:style>
  <w:style w:type="paragraph" w:styleId="Heading9">
    <w:name w:val="heading 9"/>
    <w:basedOn w:val="Normal"/>
    <w:next w:val="Normal"/>
    <w:qFormat/>
    <w:rsid w:val="005F057C"/>
    <w:pPr>
      <w:numPr>
        <w:ilvl w:val="8"/>
        <w:numId w:val="12"/>
      </w:numPr>
      <w:tabs>
        <w:tab w:val="clear" w:pos="6120"/>
      </w:tabs>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pPr>
  </w:style>
  <w:style w:type="paragraph" w:styleId="ListBullet">
    <w:name w:val="List Bullet"/>
    <w:basedOn w:val="Normal"/>
    <w:autoRedefine/>
    <w:pPr>
      <w:numPr>
        <w:numId w:val="11"/>
      </w:numPr>
      <w:spacing w:after="240"/>
    </w:pPr>
  </w:style>
  <w:style w:type="character" w:styleId="CommentReference">
    <w:name w:val="annotation reference"/>
    <w:semiHidden/>
    <w:rPr>
      <w:sz w:val="16"/>
      <w:szCs w:val="16"/>
    </w:rPr>
  </w:style>
  <w:style w:type="paragraph" w:styleId="Footer">
    <w:name w:val="footer"/>
    <w:basedOn w:val="Normal"/>
    <w:pPr>
      <w:tabs>
        <w:tab w:val="center" w:pos="4680"/>
        <w:tab w:val="right" w:pos="9360"/>
      </w:tabs>
    </w:pPr>
  </w:style>
  <w:style w:type="paragraph" w:styleId="CommentText">
    <w:name w:val="annotation text"/>
    <w:basedOn w:val="Normal"/>
    <w:link w:val="CommentTextChar"/>
    <w:semiHidden/>
  </w:style>
  <w:style w:type="paragraph" w:styleId="Title">
    <w:name w:val="Title"/>
    <w:aliases w:val="t"/>
    <w:basedOn w:val="Normal"/>
    <w:qFormat/>
    <w:rsid w:val="005F057C"/>
    <w:pPr>
      <w:spacing w:before="240" w:after="60"/>
      <w:jc w:val="center"/>
      <w:outlineLvl w:val="0"/>
    </w:pPr>
    <w:rPr>
      <w:bCs/>
      <w:kern w:val="28"/>
      <w:sz w:val="24"/>
      <w:szCs w:val="24"/>
    </w:rPr>
  </w:style>
  <w:style w:type="paragraph" w:styleId="BodyText">
    <w:name w:val="Body Text"/>
    <w:basedOn w:val="Normal"/>
    <w:link w:val="BodyTextChar"/>
    <w:uiPriority w:val="99"/>
    <w:rsid w:val="005F057C"/>
    <w:pPr>
      <w:spacing w:after="120"/>
      <w:ind w:firstLine="700"/>
      <w:jc w:val="both"/>
    </w:pPr>
    <w:rPr>
      <w:sz w:val="24"/>
      <w:szCs w:val="24"/>
    </w:rPr>
  </w:style>
  <w:style w:type="paragraph" w:styleId="DocumentMap">
    <w:name w:val="Document Map"/>
    <w:basedOn w:val="Normal"/>
    <w:semiHidden/>
    <w:rsid w:val="00A65DFF"/>
    <w:pPr>
      <w:shd w:val="clear" w:color="auto" w:fill="000080"/>
    </w:pPr>
    <w:rPr>
      <w:rFonts w:ascii="Tahoma" w:hAnsi="Tahoma" w:cs="Tahoma"/>
    </w:rPr>
  </w:style>
  <w:style w:type="table" w:styleId="TableGrid">
    <w:name w:val="Table Grid"/>
    <w:basedOn w:val="TableNormal"/>
    <w:rsid w:val="00ED5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3DD4"/>
    <w:pPr>
      <w:overflowPunct/>
      <w:autoSpaceDE/>
      <w:autoSpaceDN/>
      <w:adjustRightInd/>
      <w:spacing w:after="200" w:line="276" w:lineRule="auto"/>
      <w:ind w:left="720"/>
      <w:contextualSpacing/>
      <w:textAlignment w:val="auto"/>
    </w:pPr>
    <w:rPr>
      <w:rFonts w:ascii="Calibri" w:eastAsia="Calibri" w:hAnsi="Calibri"/>
      <w:color w:val="auto"/>
      <w:sz w:val="22"/>
      <w:szCs w:val="22"/>
    </w:rPr>
  </w:style>
  <w:style w:type="character" w:customStyle="1" w:styleId="BodyTextChar">
    <w:name w:val="Body Text Char"/>
    <w:link w:val="BodyText"/>
    <w:uiPriority w:val="99"/>
    <w:rsid w:val="00AE60A0"/>
    <w:rPr>
      <w:color w:val="000000"/>
      <w:sz w:val="24"/>
      <w:szCs w:val="24"/>
    </w:rPr>
  </w:style>
  <w:style w:type="character" w:customStyle="1" w:styleId="Heading1Char">
    <w:name w:val="Heading 1 Char"/>
    <w:link w:val="Heading1"/>
    <w:rsid w:val="00AE60A0"/>
    <w:rPr>
      <w:bCs/>
      <w:color w:val="000000"/>
      <w:sz w:val="24"/>
      <w:szCs w:val="24"/>
    </w:rPr>
  </w:style>
  <w:style w:type="paragraph" w:styleId="BalloonText">
    <w:name w:val="Balloon Text"/>
    <w:basedOn w:val="Normal"/>
    <w:link w:val="BalloonTextChar"/>
    <w:rsid w:val="00184E47"/>
    <w:rPr>
      <w:rFonts w:ascii="Segoe UI" w:hAnsi="Segoe UI" w:cs="Segoe UI"/>
      <w:sz w:val="18"/>
      <w:szCs w:val="18"/>
    </w:rPr>
  </w:style>
  <w:style w:type="character" w:customStyle="1" w:styleId="BalloonTextChar">
    <w:name w:val="Balloon Text Char"/>
    <w:link w:val="BalloonText"/>
    <w:rsid w:val="00184E47"/>
    <w:rPr>
      <w:rFonts w:ascii="Segoe UI" w:hAnsi="Segoe UI" w:cs="Segoe UI"/>
      <w:color w:val="000000"/>
      <w:sz w:val="18"/>
      <w:szCs w:val="18"/>
    </w:rPr>
  </w:style>
  <w:style w:type="character" w:customStyle="1" w:styleId="apple-converted-space">
    <w:name w:val="apple-converted-space"/>
    <w:basedOn w:val="DefaultParagraphFont"/>
    <w:rsid w:val="00F92738"/>
  </w:style>
  <w:style w:type="character" w:styleId="Emphasis">
    <w:name w:val="Emphasis"/>
    <w:uiPriority w:val="20"/>
    <w:qFormat/>
    <w:rsid w:val="00F92738"/>
    <w:rPr>
      <w:i/>
      <w:iCs/>
    </w:rPr>
  </w:style>
  <w:style w:type="paragraph" w:styleId="Revision">
    <w:name w:val="Revision"/>
    <w:hidden/>
    <w:uiPriority w:val="99"/>
    <w:semiHidden/>
    <w:rsid w:val="00266C6E"/>
    <w:rPr>
      <w:color w:val="000000"/>
    </w:rPr>
  </w:style>
  <w:style w:type="paragraph" w:styleId="CommentSubject">
    <w:name w:val="annotation subject"/>
    <w:basedOn w:val="CommentText"/>
    <w:next w:val="CommentText"/>
    <w:link w:val="CommentSubjectChar"/>
    <w:rsid w:val="00065E09"/>
    <w:rPr>
      <w:b/>
      <w:bCs/>
    </w:rPr>
  </w:style>
  <w:style w:type="character" w:customStyle="1" w:styleId="CommentTextChar">
    <w:name w:val="Comment Text Char"/>
    <w:basedOn w:val="DefaultParagraphFont"/>
    <w:link w:val="CommentText"/>
    <w:semiHidden/>
    <w:rsid w:val="00065E09"/>
    <w:rPr>
      <w:color w:val="000000"/>
    </w:rPr>
  </w:style>
  <w:style w:type="character" w:customStyle="1" w:styleId="CommentSubjectChar">
    <w:name w:val="Comment Subject Char"/>
    <w:basedOn w:val="CommentTextChar"/>
    <w:link w:val="CommentSubject"/>
    <w:rsid w:val="00065E09"/>
    <w:rPr>
      <w:b/>
      <w:bCs/>
      <w:color w:val="000000"/>
    </w:rPr>
  </w:style>
  <w:style w:type="character" w:styleId="Hyperlink">
    <w:name w:val="Hyperlink"/>
    <w:basedOn w:val="DefaultParagraphFont"/>
    <w:rsid w:val="0053248E"/>
    <w:rPr>
      <w:color w:val="467886" w:themeColor="hyperlink"/>
      <w:u w:val="single"/>
    </w:rPr>
  </w:style>
  <w:style w:type="character" w:styleId="UnresolvedMention">
    <w:name w:val="Unresolved Mention"/>
    <w:basedOn w:val="DefaultParagraphFont"/>
    <w:uiPriority w:val="99"/>
    <w:semiHidden/>
    <w:unhideWhenUsed/>
    <w:rsid w:val="00532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tlantag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Tefra Notice - Airport</vt:lpstr>
    </vt:vector>
  </TitlesOfParts>
  <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Tefra Notice - Airport</dc:title>
  <dc:subject/>
  <dc:creator>07721</dc:creator>
  <cp:keywords/>
  <dc:description/>
  <cp:lastModifiedBy>Gerrard L. Grant, Esq.</cp:lastModifiedBy>
  <cp:revision>5</cp:revision>
  <cp:lastPrinted>2024-05-15T22:06:00Z</cp:lastPrinted>
  <dcterms:created xsi:type="dcterms:W3CDTF">2024-05-16T14:33:00Z</dcterms:created>
  <dcterms:modified xsi:type="dcterms:W3CDTF">2024-05-22T15:26:00Z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046738.0000101 EMF_US 89245060</vt:lpwstr>
  </property>
</Properties>
</file>